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39BC2" w14:textId="77777777" w:rsidR="00AB559E" w:rsidRPr="00845C51" w:rsidRDefault="00AB559E" w:rsidP="00845C51">
      <w:pPr>
        <w:autoSpaceDE w:val="0"/>
        <w:autoSpaceDN w:val="0"/>
        <w:adjustRightInd w:val="0"/>
        <w:jc w:val="center"/>
        <w:rPr>
          <w:rFonts w:cs="CenturyGothic-Bold"/>
          <w:b/>
          <w:bCs/>
          <w:smallCaps/>
          <w:szCs w:val="24"/>
          <w:u w:val="single"/>
        </w:rPr>
      </w:pPr>
      <w:r w:rsidRPr="00845C51">
        <w:rPr>
          <w:rFonts w:cs="CenturyGothic-Bold"/>
          <w:b/>
          <w:bCs/>
          <w:smallCaps/>
          <w:szCs w:val="24"/>
          <w:u w:val="single"/>
        </w:rPr>
        <w:t>TRIBUNALE DI MILANO</w:t>
      </w:r>
    </w:p>
    <w:p w14:paraId="06FB3B2B" w14:textId="77777777" w:rsidR="00AB559E" w:rsidRPr="00845C51" w:rsidRDefault="00AB559E" w:rsidP="00845C51">
      <w:pPr>
        <w:autoSpaceDE w:val="0"/>
        <w:autoSpaceDN w:val="0"/>
        <w:adjustRightInd w:val="0"/>
        <w:jc w:val="center"/>
        <w:rPr>
          <w:rFonts w:cs="CenturyGothic-Bold"/>
          <w:b/>
          <w:bCs/>
          <w:smallCaps/>
          <w:szCs w:val="24"/>
          <w:u w:val="single"/>
        </w:rPr>
      </w:pPr>
      <w:r w:rsidRPr="00845C51">
        <w:rPr>
          <w:rFonts w:cs="CenturyGothic-Bold"/>
          <w:b/>
          <w:bCs/>
          <w:smallCaps/>
          <w:szCs w:val="24"/>
          <w:u w:val="single"/>
        </w:rPr>
        <w:t>Sezione Fallimentare – 2ª civile</w:t>
      </w:r>
    </w:p>
    <w:p w14:paraId="6F19A45B" w14:textId="77777777" w:rsidR="00AB559E" w:rsidRPr="00845C51" w:rsidRDefault="00AB559E" w:rsidP="00845C51">
      <w:pPr>
        <w:autoSpaceDE w:val="0"/>
        <w:autoSpaceDN w:val="0"/>
        <w:adjustRightInd w:val="0"/>
        <w:spacing w:before="240" w:after="240"/>
        <w:jc w:val="center"/>
        <w:rPr>
          <w:rFonts w:cs="CenturyGothic-Bold"/>
          <w:b/>
          <w:bCs/>
          <w:smallCaps/>
          <w:szCs w:val="24"/>
        </w:rPr>
      </w:pPr>
      <w:r w:rsidRPr="00845C51">
        <w:rPr>
          <w:rFonts w:cs="CenturyGothic-Bold"/>
          <w:b/>
          <w:bCs/>
          <w:smallCaps/>
          <w:szCs w:val="24"/>
        </w:rPr>
        <w:t>* * *</w:t>
      </w:r>
    </w:p>
    <w:p w14:paraId="45C318B1" w14:textId="77777777" w:rsidR="00AB559E" w:rsidRPr="00845C51" w:rsidRDefault="00AB559E" w:rsidP="00845C51">
      <w:pPr>
        <w:autoSpaceDE w:val="0"/>
        <w:autoSpaceDN w:val="0"/>
        <w:adjustRightInd w:val="0"/>
        <w:rPr>
          <w:rFonts w:cs="CenturyGothic-Bold"/>
          <w:bCs/>
          <w:szCs w:val="24"/>
        </w:rPr>
      </w:pPr>
      <w:r w:rsidRPr="00845C51">
        <w:rPr>
          <w:rFonts w:cs="CenturyGothic-Bold"/>
          <w:bCs/>
          <w:szCs w:val="24"/>
        </w:rPr>
        <w:t>Concordato Preventivo Pessina Costruzioni S.p.A. (n. 76/2019 c.p.)</w:t>
      </w:r>
    </w:p>
    <w:p w14:paraId="68970BD9" w14:textId="31DC1B4C" w:rsidR="00AB559E" w:rsidRPr="00F17768" w:rsidRDefault="00AB559E" w:rsidP="00845C51">
      <w:pPr>
        <w:autoSpaceDE w:val="0"/>
        <w:autoSpaceDN w:val="0"/>
        <w:adjustRightInd w:val="0"/>
        <w:rPr>
          <w:rFonts w:cs="CenturyGothic-Bold"/>
          <w:bCs/>
          <w:szCs w:val="24"/>
        </w:rPr>
      </w:pPr>
      <w:r w:rsidRPr="00845C51">
        <w:rPr>
          <w:rFonts w:cs="CenturyGothic-Bold"/>
          <w:bCs/>
          <w:szCs w:val="24"/>
        </w:rPr>
        <w:t xml:space="preserve">Presidente Relatore: </w:t>
      </w:r>
      <w:r w:rsidR="002F6CD3" w:rsidRPr="00845C51">
        <w:rPr>
          <w:rFonts w:cs="CenturyGothic-Bold"/>
          <w:bCs/>
          <w:szCs w:val="24"/>
        </w:rPr>
        <w:t>D</w:t>
      </w:r>
      <w:r w:rsidRPr="00F17768">
        <w:rPr>
          <w:rFonts w:cs="CenturyGothic-Bold"/>
          <w:bCs/>
          <w:szCs w:val="24"/>
        </w:rPr>
        <w:t xml:space="preserve">ott.ssa Alida </w:t>
      </w:r>
      <w:proofErr w:type="spellStart"/>
      <w:r w:rsidRPr="00F17768">
        <w:rPr>
          <w:rFonts w:cs="CenturyGothic-Bold"/>
          <w:bCs/>
          <w:szCs w:val="24"/>
        </w:rPr>
        <w:t>Paluchowski</w:t>
      </w:r>
      <w:proofErr w:type="spellEnd"/>
    </w:p>
    <w:p w14:paraId="05AE83F7" w14:textId="641002DB" w:rsidR="00AB559E" w:rsidRPr="00F17768" w:rsidRDefault="00AB559E" w:rsidP="00845C51">
      <w:pPr>
        <w:autoSpaceDE w:val="0"/>
        <w:autoSpaceDN w:val="0"/>
        <w:adjustRightInd w:val="0"/>
        <w:rPr>
          <w:rFonts w:cs="CenturyGothic-Bold"/>
          <w:bCs/>
          <w:szCs w:val="24"/>
        </w:rPr>
      </w:pPr>
      <w:r w:rsidRPr="00F17768">
        <w:rPr>
          <w:rFonts w:cs="CenturyGothic-Bold"/>
          <w:bCs/>
          <w:szCs w:val="24"/>
        </w:rPr>
        <w:t xml:space="preserve">Commissari Giudiziali: Dott. Alfredo </w:t>
      </w:r>
      <w:proofErr w:type="spellStart"/>
      <w:r w:rsidRPr="00F17768">
        <w:rPr>
          <w:rFonts w:cs="CenturyGothic-Bold"/>
          <w:bCs/>
          <w:szCs w:val="24"/>
        </w:rPr>
        <w:t>Haupt</w:t>
      </w:r>
      <w:proofErr w:type="spellEnd"/>
      <w:r w:rsidRPr="00F17768">
        <w:rPr>
          <w:rFonts w:cs="CenturyGothic-Bold"/>
          <w:bCs/>
          <w:szCs w:val="24"/>
        </w:rPr>
        <w:t xml:space="preserve"> e </w:t>
      </w:r>
      <w:r w:rsidR="002F6CD3" w:rsidRPr="00F17768">
        <w:rPr>
          <w:rFonts w:cs="CenturyGothic-Bold"/>
          <w:bCs/>
          <w:szCs w:val="24"/>
        </w:rPr>
        <w:t>A</w:t>
      </w:r>
      <w:r w:rsidRPr="00F17768">
        <w:rPr>
          <w:rFonts w:cs="CenturyGothic-Bold"/>
          <w:bCs/>
          <w:szCs w:val="24"/>
        </w:rPr>
        <w:t>vv. Paola Pagini</w:t>
      </w:r>
    </w:p>
    <w:p w14:paraId="13093F13" w14:textId="77777777" w:rsidR="00AB559E" w:rsidRPr="00F17768" w:rsidRDefault="00AB559E" w:rsidP="00F17768">
      <w:pPr>
        <w:autoSpaceDE w:val="0"/>
        <w:autoSpaceDN w:val="0"/>
        <w:adjustRightInd w:val="0"/>
        <w:spacing w:before="240" w:after="240"/>
        <w:jc w:val="center"/>
        <w:rPr>
          <w:rFonts w:cs="CenturyGothic-Bold"/>
          <w:b/>
          <w:bCs/>
          <w:smallCaps/>
          <w:szCs w:val="24"/>
        </w:rPr>
      </w:pPr>
      <w:r w:rsidRPr="00F17768">
        <w:rPr>
          <w:rFonts w:cs="CenturyGothic-Bold"/>
          <w:b/>
          <w:bCs/>
          <w:smallCaps/>
          <w:szCs w:val="24"/>
        </w:rPr>
        <w:t>* * *</w:t>
      </w:r>
    </w:p>
    <w:p w14:paraId="64C5730C" w14:textId="77777777" w:rsidR="00AB559E" w:rsidRPr="00F17768" w:rsidRDefault="00AB559E" w:rsidP="00F17768">
      <w:pPr>
        <w:pStyle w:val="Heading1"/>
        <w:jc w:val="center"/>
        <w:rPr>
          <w:szCs w:val="24"/>
        </w:rPr>
      </w:pPr>
      <w:r w:rsidRPr="00F17768">
        <w:rPr>
          <w:szCs w:val="24"/>
        </w:rPr>
        <w:t>Avviso di apertura di procedimento competitivo</w:t>
      </w:r>
    </w:p>
    <w:p w14:paraId="05DB8794" w14:textId="77777777" w:rsidR="00AB559E" w:rsidRPr="00F17768" w:rsidRDefault="00AB559E" w:rsidP="00F17768">
      <w:pPr>
        <w:autoSpaceDE w:val="0"/>
        <w:autoSpaceDN w:val="0"/>
        <w:adjustRightInd w:val="0"/>
        <w:jc w:val="center"/>
        <w:rPr>
          <w:rFonts w:cs="CenturyGothic-Bold"/>
          <w:b/>
          <w:bCs/>
          <w:smallCaps/>
          <w:szCs w:val="24"/>
          <w:u w:val="single"/>
        </w:rPr>
      </w:pPr>
      <w:r w:rsidRPr="00F17768">
        <w:rPr>
          <w:rFonts w:cs="CenturyGothic-Bold"/>
          <w:b/>
          <w:bCs/>
          <w:smallCaps/>
          <w:szCs w:val="24"/>
          <w:u w:val="single"/>
        </w:rPr>
        <w:t xml:space="preserve">per l’acquisto delle quote del fondo </w:t>
      </w:r>
      <w:r w:rsidR="00894D16" w:rsidRPr="00F17768">
        <w:rPr>
          <w:rFonts w:cs="CenturyGothic-Bold"/>
          <w:b/>
          <w:bCs/>
          <w:smallCaps/>
          <w:szCs w:val="24"/>
          <w:u w:val="single"/>
        </w:rPr>
        <w:t>“</w:t>
      </w:r>
      <w:r w:rsidRPr="00F17768">
        <w:rPr>
          <w:rFonts w:cs="CenturyGothic-Bold"/>
          <w:b/>
          <w:bCs/>
          <w:smallCaps/>
          <w:szCs w:val="24"/>
          <w:u w:val="single"/>
        </w:rPr>
        <w:t>J</w:t>
      </w:r>
      <w:r w:rsidR="00894D16" w:rsidRPr="00F17768">
        <w:rPr>
          <w:rFonts w:cs="CenturyGothic-Bold"/>
          <w:b/>
          <w:bCs/>
          <w:smallCaps/>
          <w:szCs w:val="24"/>
          <w:u w:val="single"/>
        </w:rPr>
        <w:t xml:space="preserve">. </w:t>
      </w:r>
      <w:proofErr w:type="spellStart"/>
      <w:r w:rsidRPr="00F17768">
        <w:rPr>
          <w:rFonts w:cs="CenturyGothic-Bold"/>
          <w:b/>
          <w:bCs/>
          <w:smallCaps/>
          <w:szCs w:val="24"/>
          <w:u w:val="single"/>
        </w:rPr>
        <w:t>Village</w:t>
      </w:r>
      <w:proofErr w:type="spellEnd"/>
      <w:r w:rsidR="00894D16" w:rsidRPr="00F17768">
        <w:rPr>
          <w:rFonts w:cs="CenturyGothic-Bold"/>
          <w:b/>
          <w:bCs/>
          <w:smallCaps/>
          <w:szCs w:val="24"/>
          <w:u w:val="single"/>
        </w:rPr>
        <w:t>”</w:t>
      </w:r>
      <w:r w:rsidRPr="00F17768">
        <w:rPr>
          <w:rFonts w:cs="CenturyGothic-Bold"/>
          <w:b/>
          <w:bCs/>
          <w:smallCaps/>
          <w:szCs w:val="24"/>
          <w:u w:val="single"/>
        </w:rPr>
        <w:t xml:space="preserve"> </w:t>
      </w:r>
    </w:p>
    <w:p w14:paraId="51ECE1AD" w14:textId="77777777" w:rsidR="00AB559E" w:rsidRPr="00F17768" w:rsidRDefault="00AB559E" w:rsidP="00F17768">
      <w:pPr>
        <w:autoSpaceDE w:val="0"/>
        <w:autoSpaceDN w:val="0"/>
        <w:adjustRightInd w:val="0"/>
        <w:jc w:val="both"/>
        <w:rPr>
          <w:rFonts w:cs="CenturyGothic-Bold"/>
          <w:b/>
          <w:bCs/>
          <w:szCs w:val="24"/>
        </w:rPr>
      </w:pPr>
    </w:p>
    <w:p w14:paraId="079A8A6F" w14:textId="554A7A00" w:rsidR="00AB559E" w:rsidRPr="00F17768" w:rsidRDefault="00AB559E" w:rsidP="00F17768">
      <w:pPr>
        <w:autoSpaceDE w:val="0"/>
        <w:autoSpaceDN w:val="0"/>
        <w:adjustRightInd w:val="0"/>
        <w:jc w:val="both"/>
        <w:rPr>
          <w:rFonts w:cs="CenturyGothic-Bold"/>
          <w:bCs/>
          <w:szCs w:val="24"/>
        </w:rPr>
      </w:pPr>
      <w:r w:rsidRPr="00F17768">
        <w:rPr>
          <w:rFonts w:cs="CenturyGothic-Bold"/>
          <w:bCs/>
          <w:szCs w:val="24"/>
        </w:rPr>
        <w:t>Pessina Costruzioni S.p.A.</w:t>
      </w:r>
      <w:r w:rsidRPr="00F17768">
        <w:rPr>
          <w:rFonts w:cs="CenturyGothic"/>
          <w:szCs w:val="24"/>
        </w:rPr>
        <w:t xml:space="preserve"> (di seguito, “</w:t>
      </w:r>
      <w:r w:rsidRPr="00F17768">
        <w:rPr>
          <w:rFonts w:cs="CenturyGothic-Bold"/>
          <w:b/>
          <w:bCs/>
          <w:szCs w:val="24"/>
        </w:rPr>
        <w:t>Pessina</w:t>
      </w:r>
      <w:r w:rsidRPr="00F17768">
        <w:rPr>
          <w:rFonts w:cs="CenturyGothic"/>
          <w:szCs w:val="24"/>
        </w:rPr>
        <w:t>” ovvero la “</w:t>
      </w:r>
      <w:r w:rsidRPr="00F17768">
        <w:rPr>
          <w:rFonts w:cs="CenturyGothic-Bold"/>
          <w:b/>
          <w:bCs/>
          <w:szCs w:val="24"/>
        </w:rPr>
        <w:t>Società</w:t>
      </w:r>
      <w:r w:rsidRPr="00F17768">
        <w:rPr>
          <w:rFonts w:cs="CenturyGothic"/>
          <w:szCs w:val="24"/>
        </w:rPr>
        <w:t>”)</w:t>
      </w:r>
      <w:r w:rsidRPr="00F17768">
        <w:rPr>
          <w:rFonts w:cs="CenturyGothic-Bold"/>
          <w:bCs/>
          <w:szCs w:val="24"/>
        </w:rPr>
        <w:t>, nell’ambito del</w:t>
      </w:r>
      <w:r w:rsidR="002F6CD3" w:rsidRPr="00F17768">
        <w:rPr>
          <w:rFonts w:cs="CenturyGothic-Bold"/>
          <w:bCs/>
          <w:szCs w:val="24"/>
        </w:rPr>
        <w:t xml:space="preserve"> procedimento </w:t>
      </w:r>
      <w:r w:rsidRPr="00F17768">
        <w:rPr>
          <w:rFonts w:cs="CenturyGothic-Bold"/>
          <w:bCs/>
          <w:szCs w:val="24"/>
        </w:rPr>
        <w:t xml:space="preserve">di cui all’art. 161, sesto comma, </w:t>
      </w:r>
      <w:proofErr w:type="spellStart"/>
      <w:r w:rsidRPr="00F17768">
        <w:rPr>
          <w:rFonts w:cs="CenturyGothic-Bold"/>
          <w:bCs/>
          <w:szCs w:val="24"/>
        </w:rPr>
        <w:t>R.d.</w:t>
      </w:r>
      <w:proofErr w:type="spellEnd"/>
      <w:r w:rsidRPr="00F17768">
        <w:rPr>
          <w:rFonts w:cs="CenturyGothic-Bold"/>
          <w:bCs/>
          <w:szCs w:val="24"/>
        </w:rPr>
        <w:t xml:space="preserve"> 16 marzo 1942, n. 267 (“</w:t>
      </w:r>
      <w:r w:rsidRPr="00F17768">
        <w:rPr>
          <w:rFonts w:cs="CenturyGothic-Bold"/>
          <w:b/>
          <w:bCs/>
          <w:szCs w:val="24"/>
        </w:rPr>
        <w:t>L.F.</w:t>
      </w:r>
      <w:r w:rsidRPr="00F17768">
        <w:rPr>
          <w:rFonts w:cs="CenturyGothic-Bold"/>
          <w:bCs/>
          <w:szCs w:val="24"/>
        </w:rPr>
        <w:t>”) della Società (n. 76/2019 c.p.),</w:t>
      </w:r>
    </w:p>
    <w:p w14:paraId="4EBD7CF8" w14:textId="77777777" w:rsidR="00AB559E" w:rsidRPr="00F17768" w:rsidRDefault="00AB559E" w:rsidP="00F17768">
      <w:pPr>
        <w:autoSpaceDE w:val="0"/>
        <w:autoSpaceDN w:val="0"/>
        <w:adjustRightInd w:val="0"/>
        <w:jc w:val="both"/>
        <w:rPr>
          <w:rFonts w:cs="CenturyGothic-Bold"/>
          <w:bCs/>
          <w:szCs w:val="24"/>
        </w:rPr>
      </w:pPr>
    </w:p>
    <w:p w14:paraId="56701C38" w14:textId="77777777" w:rsidR="00AB559E" w:rsidRPr="00F17768" w:rsidRDefault="00AB559E" w:rsidP="00F17768">
      <w:pPr>
        <w:autoSpaceDE w:val="0"/>
        <w:autoSpaceDN w:val="0"/>
        <w:adjustRightInd w:val="0"/>
        <w:jc w:val="center"/>
        <w:rPr>
          <w:rFonts w:cs="CenturyGothic-Bold"/>
          <w:b/>
          <w:bCs/>
          <w:szCs w:val="24"/>
        </w:rPr>
      </w:pPr>
      <w:r w:rsidRPr="00F17768">
        <w:rPr>
          <w:rFonts w:cs="CenturyGothic-Bold"/>
          <w:b/>
          <w:bCs/>
          <w:szCs w:val="24"/>
        </w:rPr>
        <w:t>premesso che</w:t>
      </w:r>
    </w:p>
    <w:p w14:paraId="25F7804A" w14:textId="77777777" w:rsidR="00AB559E" w:rsidRPr="00F17768" w:rsidRDefault="00AB559E" w:rsidP="00F17768">
      <w:pPr>
        <w:autoSpaceDE w:val="0"/>
        <w:autoSpaceDN w:val="0"/>
        <w:adjustRightInd w:val="0"/>
        <w:jc w:val="both"/>
        <w:rPr>
          <w:szCs w:val="24"/>
        </w:rPr>
      </w:pPr>
    </w:p>
    <w:p w14:paraId="23015899" w14:textId="2B4E342F" w:rsidR="00AB559E" w:rsidRPr="00F17768" w:rsidRDefault="00AB559E" w:rsidP="00F17768">
      <w:pPr>
        <w:numPr>
          <w:ilvl w:val="0"/>
          <w:numId w:val="32"/>
        </w:numPr>
        <w:autoSpaceDE w:val="0"/>
        <w:autoSpaceDN w:val="0"/>
        <w:adjustRightInd w:val="0"/>
        <w:ind w:left="567" w:hanging="567"/>
        <w:jc w:val="both"/>
        <w:rPr>
          <w:szCs w:val="24"/>
        </w:rPr>
      </w:pPr>
      <w:r w:rsidRPr="00F17768">
        <w:rPr>
          <w:szCs w:val="24"/>
        </w:rPr>
        <w:t xml:space="preserve">Pessina è </w:t>
      </w:r>
      <w:r w:rsidRPr="00F17768">
        <w:rPr>
          <w:rFonts w:cs="Garamond"/>
          <w:color w:val="000000"/>
          <w:szCs w:val="24"/>
        </w:rPr>
        <w:t xml:space="preserve">nota società, con sede in </w:t>
      </w:r>
      <w:r w:rsidRPr="00F17768">
        <w:rPr>
          <w:rFonts w:cs="Garamond"/>
          <w:bCs/>
          <w:color w:val="000000"/>
          <w:szCs w:val="24"/>
        </w:rPr>
        <w:t xml:space="preserve">Milano, </w:t>
      </w:r>
      <w:r w:rsidRPr="00F17768">
        <w:rPr>
          <w:rFonts w:eastAsia="Times New Roman" w:cs="Garamond"/>
          <w:szCs w:val="24"/>
          <w:lang w:eastAsia="it-IT"/>
        </w:rPr>
        <w:t xml:space="preserve">Via </w:t>
      </w:r>
      <w:proofErr w:type="spellStart"/>
      <w:r w:rsidRPr="00F17768">
        <w:rPr>
          <w:rFonts w:eastAsia="Times New Roman" w:cs="Garamond"/>
          <w:szCs w:val="24"/>
          <w:lang w:eastAsia="it-IT"/>
        </w:rPr>
        <w:t>Nizzoli</w:t>
      </w:r>
      <w:proofErr w:type="spellEnd"/>
      <w:r w:rsidRPr="00F17768">
        <w:rPr>
          <w:rFonts w:eastAsia="Times New Roman" w:cs="Garamond"/>
          <w:szCs w:val="24"/>
          <w:lang w:eastAsia="it-IT"/>
        </w:rPr>
        <w:t xml:space="preserve"> 4, C.F. e P. IVA. 00829110154, REA Milano </w:t>
      </w:r>
      <w:r w:rsidRPr="00F17768">
        <w:rPr>
          <w:rFonts w:cs="Calibri"/>
          <w:szCs w:val="24"/>
        </w:rPr>
        <w:t>450932</w:t>
      </w:r>
      <w:r w:rsidRPr="00F17768">
        <w:rPr>
          <w:rFonts w:eastAsia="Times New Roman" w:cs="Garamond"/>
          <w:szCs w:val="24"/>
          <w:lang w:eastAsia="it-IT"/>
        </w:rPr>
        <w:t xml:space="preserve">, attiva nel settore delle nuove costruzioni, della ristrutturazione di edifici storici ed artistici e delle infrastrutture, </w:t>
      </w:r>
      <w:r w:rsidR="00ED27C9" w:rsidRPr="00F17768">
        <w:rPr>
          <w:rFonts w:eastAsia="Times New Roman" w:cs="Garamond"/>
          <w:szCs w:val="24"/>
          <w:lang w:eastAsia="it-IT"/>
        </w:rPr>
        <w:t xml:space="preserve">nonché </w:t>
      </w:r>
      <w:r w:rsidRPr="00F17768">
        <w:rPr>
          <w:rFonts w:eastAsia="Times New Roman" w:cs="Garamond"/>
          <w:szCs w:val="24"/>
          <w:lang w:eastAsia="it-IT"/>
        </w:rPr>
        <w:t xml:space="preserve">del </w:t>
      </w:r>
      <w:proofErr w:type="spellStart"/>
      <w:r w:rsidRPr="00F17768">
        <w:rPr>
          <w:rFonts w:eastAsia="Times New Roman" w:cs="Garamond"/>
          <w:i/>
          <w:szCs w:val="24"/>
          <w:lang w:eastAsia="it-IT"/>
        </w:rPr>
        <w:t>project</w:t>
      </w:r>
      <w:proofErr w:type="spellEnd"/>
      <w:r w:rsidRPr="00F17768">
        <w:rPr>
          <w:rFonts w:eastAsia="Times New Roman" w:cs="Garamond"/>
          <w:i/>
          <w:szCs w:val="24"/>
          <w:lang w:eastAsia="it-IT"/>
        </w:rPr>
        <w:t xml:space="preserve"> </w:t>
      </w:r>
      <w:proofErr w:type="spellStart"/>
      <w:r w:rsidRPr="00F17768">
        <w:rPr>
          <w:rFonts w:eastAsia="Times New Roman" w:cs="Garamond"/>
          <w:i/>
          <w:szCs w:val="24"/>
          <w:lang w:eastAsia="it-IT"/>
        </w:rPr>
        <w:t>financing</w:t>
      </w:r>
      <w:proofErr w:type="spellEnd"/>
      <w:r w:rsidR="00455814" w:rsidRPr="00F17768">
        <w:rPr>
          <w:rFonts w:eastAsia="Times New Roman" w:cs="Garamond"/>
          <w:szCs w:val="24"/>
          <w:lang w:eastAsia="it-IT"/>
        </w:rPr>
        <w:t>;</w:t>
      </w:r>
    </w:p>
    <w:p w14:paraId="05B0A487" w14:textId="77777777" w:rsidR="00AB559E" w:rsidRPr="00F17768" w:rsidRDefault="00AB559E" w:rsidP="00F17768">
      <w:pPr>
        <w:autoSpaceDE w:val="0"/>
        <w:autoSpaceDN w:val="0"/>
        <w:adjustRightInd w:val="0"/>
        <w:ind w:left="567" w:hanging="567"/>
        <w:jc w:val="both"/>
        <w:rPr>
          <w:szCs w:val="24"/>
        </w:rPr>
      </w:pPr>
    </w:p>
    <w:p w14:paraId="64A47255" w14:textId="2537482A" w:rsidR="00FB28E3" w:rsidRPr="00F17768" w:rsidRDefault="00455814" w:rsidP="00F17768">
      <w:pPr>
        <w:numPr>
          <w:ilvl w:val="0"/>
          <w:numId w:val="32"/>
        </w:numPr>
        <w:ind w:left="567" w:hanging="567"/>
        <w:jc w:val="both"/>
        <w:rPr>
          <w:rFonts w:cs="Calibri"/>
          <w:szCs w:val="24"/>
        </w:rPr>
      </w:pPr>
      <w:r w:rsidRPr="00F17768">
        <w:rPr>
          <w:rFonts w:cs="Calibri"/>
          <w:szCs w:val="24"/>
        </w:rPr>
        <w:t>i</w:t>
      </w:r>
      <w:r w:rsidR="00AB559E" w:rsidRPr="00F17768">
        <w:rPr>
          <w:rFonts w:cs="Calibri"/>
          <w:szCs w:val="24"/>
        </w:rPr>
        <w:t>n data 24</w:t>
      </w:r>
      <w:r w:rsidR="00ED002B" w:rsidRPr="00F17768">
        <w:rPr>
          <w:rFonts w:cs="Calibri"/>
          <w:szCs w:val="24"/>
        </w:rPr>
        <w:t xml:space="preserve"> luglio </w:t>
      </w:r>
      <w:r w:rsidR="00AB559E" w:rsidRPr="00F17768">
        <w:rPr>
          <w:rFonts w:cs="Calibri"/>
          <w:szCs w:val="24"/>
        </w:rPr>
        <w:t>2019 Pessina ha depositato avanti il Tribunale di Milano ricorso di cui all’art. 161, comma 6, L</w:t>
      </w:r>
      <w:r w:rsidR="00AB559E" w:rsidRPr="00F17768">
        <w:rPr>
          <w:rFonts w:cs="CenturyGothic-Bold"/>
          <w:bCs/>
          <w:szCs w:val="24"/>
        </w:rPr>
        <w:t>.F.</w:t>
      </w:r>
      <w:r w:rsidR="00FB28E3" w:rsidRPr="00F17768">
        <w:rPr>
          <w:rFonts w:cs="CenturyGothic-Bold"/>
          <w:bCs/>
          <w:szCs w:val="24"/>
        </w:rPr>
        <w:t xml:space="preserve"> (il “</w:t>
      </w:r>
      <w:r w:rsidR="00FB28E3" w:rsidRPr="00F17768">
        <w:rPr>
          <w:rFonts w:cs="CenturyGothic-Bold"/>
          <w:b/>
          <w:bCs/>
          <w:szCs w:val="24"/>
        </w:rPr>
        <w:t>Ricorso</w:t>
      </w:r>
      <w:r w:rsidR="00FB28E3" w:rsidRPr="00F17768">
        <w:rPr>
          <w:rFonts w:cs="CenturyGothic-Bold"/>
          <w:bCs/>
          <w:szCs w:val="24"/>
        </w:rPr>
        <w:t>”)</w:t>
      </w:r>
      <w:r w:rsidR="00FB28E3" w:rsidRPr="00F17768">
        <w:rPr>
          <w:rFonts w:cs="Calibri"/>
          <w:szCs w:val="24"/>
        </w:rPr>
        <w:t xml:space="preserve">; </w:t>
      </w:r>
      <w:r w:rsidR="00FB28E3" w:rsidRPr="00F17768">
        <w:rPr>
          <w:szCs w:val="24"/>
        </w:rPr>
        <w:t>la notizia del deposito del Ricorso è stata iscritta presso il Registro delle Imprese di Milano in data 24</w:t>
      </w:r>
      <w:r w:rsidR="00ED002B" w:rsidRPr="00F17768">
        <w:rPr>
          <w:szCs w:val="24"/>
        </w:rPr>
        <w:t xml:space="preserve"> luglio </w:t>
      </w:r>
      <w:r w:rsidR="00FB28E3" w:rsidRPr="00F17768">
        <w:rPr>
          <w:szCs w:val="24"/>
        </w:rPr>
        <w:t>2019 ed è risultata visibile in data 25</w:t>
      </w:r>
      <w:r w:rsidR="00ED002B" w:rsidRPr="00F17768">
        <w:rPr>
          <w:szCs w:val="24"/>
        </w:rPr>
        <w:t xml:space="preserve"> luglio </w:t>
      </w:r>
      <w:r w:rsidR="00FB28E3" w:rsidRPr="00F17768">
        <w:rPr>
          <w:szCs w:val="24"/>
        </w:rPr>
        <w:t>2019</w:t>
      </w:r>
      <w:r w:rsidRPr="00F17768">
        <w:rPr>
          <w:szCs w:val="24"/>
        </w:rPr>
        <w:t>;</w:t>
      </w:r>
    </w:p>
    <w:p w14:paraId="13C315ED" w14:textId="77777777" w:rsidR="00AB559E" w:rsidRPr="00F17768" w:rsidRDefault="00AB559E" w:rsidP="00F17768">
      <w:pPr>
        <w:ind w:left="567" w:hanging="567"/>
        <w:jc w:val="both"/>
        <w:rPr>
          <w:rFonts w:cs="Calibri"/>
          <w:szCs w:val="24"/>
        </w:rPr>
      </w:pPr>
    </w:p>
    <w:p w14:paraId="3E2CDFEB" w14:textId="60FABEB3" w:rsidR="00AB559E" w:rsidRPr="00F17768" w:rsidRDefault="00AB559E" w:rsidP="00F17768">
      <w:pPr>
        <w:numPr>
          <w:ilvl w:val="0"/>
          <w:numId w:val="32"/>
        </w:numPr>
        <w:ind w:left="567" w:hanging="567"/>
        <w:jc w:val="both"/>
        <w:rPr>
          <w:rFonts w:cs="Calibri"/>
          <w:szCs w:val="24"/>
        </w:rPr>
      </w:pPr>
      <w:r w:rsidRPr="00F17768">
        <w:rPr>
          <w:rFonts w:cs="Calibri"/>
          <w:szCs w:val="24"/>
        </w:rPr>
        <w:t xml:space="preserve">con decreto del </w:t>
      </w:r>
      <w:r w:rsidR="00FB28E3" w:rsidRPr="00F17768">
        <w:rPr>
          <w:rFonts w:cs="Calibri"/>
          <w:szCs w:val="24"/>
        </w:rPr>
        <w:t>25</w:t>
      </w:r>
      <w:r w:rsidR="00ED002B" w:rsidRPr="00F17768">
        <w:rPr>
          <w:rFonts w:cs="Calibri"/>
          <w:szCs w:val="24"/>
        </w:rPr>
        <w:t xml:space="preserve"> </w:t>
      </w:r>
      <w:r w:rsidR="00ED002B" w:rsidRPr="00F17768">
        <w:rPr>
          <w:szCs w:val="24"/>
        </w:rPr>
        <w:t xml:space="preserve">luglio </w:t>
      </w:r>
      <w:r w:rsidR="00FB28E3" w:rsidRPr="00F17768">
        <w:rPr>
          <w:rFonts w:cs="Calibri"/>
          <w:szCs w:val="24"/>
        </w:rPr>
        <w:t>2019</w:t>
      </w:r>
      <w:r w:rsidRPr="00F17768">
        <w:rPr>
          <w:rFonts w:cs="Calibri"/>
          <w:szCs w:val="24"/>
        </w:rPr>
        <w:t xml:space="preserve">, il Tribunale di Milano ha concesso termine a </w:t>
      </w:r>
      <w:r w:rsidR="00FB28E3" w:rsidRPr="00F17768">
        <w:rPr>
          <w:rFonts w:cs="Calibri"/>
          <w:szCs w:val="24"/>
        </w:rPr>
        <w:t xml:space="preserve">Pessina </w:t>
      </w:r>
      <w:r w:rsidRPr="00F17768">
        <w:rPr>
          <w:rFonts w:cs="Calibri"/>
          <w:szCs w:val="24"/>
        </w:rPr>
        <w:t xml:space="preserve">fino al </w:t>
      </w:r>
      <w:r w:rsidR="00FB28E3" w:rsidRPr="00F17768">
        <w:rPr>
          <w:rFonts w:cs="Calibri"/>
          <w:szCs w:val="24"/>
        </w:rPr>
        <w:t>23</w:t>
      </w:r>
      <w:r w:rsidR="00ED002B" w:rsidRPr="00F17768">
        <w:rPr>
          <w:rFonts w:cs="Calibri"/>
          <w:szCs w:val="24"/>
        </w:rPr>
        <w:t xml:space="preserve"> settembre </w:t>
      </w:r>
      <w:r w:rsidR="00FB28E3" w:rsidRPr="00F17768">
        <w:rPr>
          <w:rFonts w:cs="Calibri"/>
          <w:szCs w:val="24"/>
        </w:rPr>
        <w:t xml:space="preserve">2019 </w:t>
      </w:r>
      <w:r w:rsidRPr="00F17768">
        <w:rPr>
          <w:rFonts w:cs="Calibri"/>
          <w:szCs w:val="24"/>
        </w:rPr>
        <w:t xml:space="preserve">per la presentazione di una proposta definitiva di concordato preventivo (con il piano e la documentazione completa di cui ai commi secondo e terzo dell’art. 161 L.F.) o di una domanda di omologazione di accordi di ristrutturazione dei debiti </w:t>
      </w:r>
      <w:r w:rsidRPr="00F17768">
        <w:rPr>
          <w:rFonts w:cs="Calibri"/>
          <w:i/>
          <w:szCs w:val="24"/>
        </w:rPr>
        <w:t>ex</w:t>
      </w:r>
      <w:r w:rsidRPr="00F17768">
        <w:rPr>
          <w:rFonts w:cs="Calibri"/>
          <w:szCs w:val="24"/>
        </w:rPr>
        <w:t xml:space="preserve"> art. 182-</w:t>
      </w:r>
      <w:r w:rsidRPr="00F17768">
        <w:rPr>
          <w:rFonts w:cs="Calibri"/>
          <w:i/>
          <w:szCs w:val="24"/>
        </w:rPr>
        <w:t>bis</w:t>
      </w:r>
      <w:r w:rsidRPr="00F17768">
        <w:rPr>
          <w:rFonts w:cs="Calibri"/>
          <w:szCs w:val="24"/>
        </w:rPr>
        <w:t xml:space="preserve"> L.F.</w:t>
      </w:r>
      <w:r w:rsidR="00455814" w:rsidRPr="00F17768">
        <w:rPr>
          <w:rFonts w:cs="Calibri"/>
          <w:szCs w:val="24"/>
        </w:rPr>
        <w:t>;</w:t>
      </w:r>
    </w:p>
    <w:p w14:paraId="5A970466" w14:textId="77777777" w:rsidR="00FB28E3" w:rsidRPr="00F17768" w:rsidRDefault="00FB28E3" w:rsidP="00F17768">
      <w:pPr>
        <w:pStyle w:val="ListParagraph"/>
        <w:rPr>
          <w:rFonts w:cs="Calibri"/>
          <w:szCs w:val="24"/>
        </w:rPr>
      </w:pPr>
    </w:p>
    <w:p w14:paraId="6E90A893" w14:textId="04C2AFA7" w:rsidR="00FB28E3" w:rsidRPr="00F17768" w:rsidRDefault="00455814" w:rsidP="00F17768">
      <w:pPr>
        <w:numPr>
          <w:ilvl w:val="0"/>
          <w:numId w:val="32"/>
        </w:numPr>
        <w:ind w:left="567" w:hanging="567"/>
        <w:jc w:val="both"/>
        <w:rPr>
          <w:color w:val="000000"/>
          <w:szCs w:val="24"/>
        </w:rPr>
      </w:pPr>
      <w:r w:rsidRPr="00F17768">
        <w:rPr>
          <w:color w:val="000000"/>
          <w:szCs w:val="24"/>
        </w:rPr>
        <w:t>i</w:t>
      </w:r>
      <w:r w:rsidR="00FB28E3" w:rsidRPr="00F17768">
        <w:rPr>
          <w:color w:val="000000"/>
          <w:szCs w:val="24"/>
        </w:rPr>
        <w:t>n data 16</w:t>
      </w:r>
      <w:r w:rsidR="00ED002B" w:rsidRPr="00F17768">
        <w:rPr>
          <w:color w:val="000000"/>
          <w:szCs w:val="24"/>
        </w:rPr>
        <w:t xml:space="preserve"> </w:t>
      </w:r>
      <w:r w:rsidR="00ED002B" w:rsidRPr="00F17768">
        <w:rPr>
          <w:rFonts w:cs="Calibri"/>
          <w:szCs w:val="24"/>
        </w:rPr>
        <w:t xml:space="preserve">settembre </w:t>
      </w:r>
      <w:r w:rsidR="00FB28E3" w:rsidRPr="00F17768">
        <w:rPr>
          <w:color w:val="000000"/>
          <w:szCs w:val="24"/>
        </w:rPr>
        <w:t xml:space="preserve">2019, la Società ha depositato apposita istanza motivata per richiedere, ai sensi dell’articolo 161, comma 6, </w:t>
      </w:r>
      <w:r w:rsidR="00D60CBA" w:rsidRPr="00F17768">
        <w:rPr>
          <w:color w:val="000000"/>
          <w:szCs w:val="24"/>
        </w:rPr>
        <w:t>L.F.</w:t>
      </w:r>
      <w:r w:rsidR="00FB28E3" w:rsidRPr="00F17768">
        <w:rPr>
          <w:color w:val="000000"/>
          <w:szCs w:val="24"/>
        </w:rPr>
        <w:t>, una proroga del citato termine del 23</w:t>
      </w:r>
      <w:r w:rsidR="00ED002B" w:rsidRPr="00F17768">
        <w:rPr>
          <w:color w:val="000000"/>
          <w:szCs w:val="24"/>
        </w:rPr>
        <w:t xml:space="preserve"> </w:t>
      </w:r>
      <w:r w:rsidR="00ED002B" w:rsidRPr="00F17768">
        <w:rPr>
          <w:rFonts w:cs="Calibri"/>
          <w:szCs w:val="24"/>
        </w:rPr>
        <w:t xml:space="preserve">settembre </w:t>
      </w:r>
      <w:r w:rsidR="00FB28E3" w:rsidRPr="00F17768">
        <w:rPr>
          <w:color w:val="000000"/>
          <w:szCs w:val="24"/>
        </w:rPr>
        <w:t xml:space="preserve">2019; con </w:t>
      </w:r>
      <w:r w:rsidR="00FB28E3" w:rsidRPr="00F17768">
        <w:rPr>
          <w:rFonts w:cs="Calibri"/>
          <w:szCs w:val="24"/>
        </w:rPr>
        <w:t>decreto</w:t>
      </w:r>
      <w:r w:rsidR="00FB28E3" w:rsidRPr="00F17768">
        <w:rPr>
          <w:color w:val="000000"/>
          <w:szCs w:val="24"/>
        </w:rPr>
        <w:t xml:space="preserve"> emesso in data 26</w:t>
      </w:r>
      <w:r w:rsidR="00ED002B" w:rsidRPr="00F17768">
        <w:rPr>
          <w:color w:val="000000"/>
          <w:szCs w:val="24"/>
        </w:rPr>
        <w:t xml:space="preserve"> </w:t>
      </w:r>
      <w:r w:rsidR="00ED002B" w:rsidRPr="00F17768">
        <w:rPr>
          <w:rFonts w:cs="Calibri"/>
          <w:szCs w:val="24"/>
        </w:rPr>
        <w:t xml:space="preserve">settembre </w:t>
      </w:r>
      <w:r w:rsidR="00FB28E3" w:rsidRPr="00F17768">
        <w:rPr>
          <w:color w:val="000000"/>
          <w:szCs w:val="24"/>
        </w:rPr>
        <w:t xml:space="preserve">2019, </w:t>
      </w:r>
      <w:r w:rsidR="00FB28E3" w:rsidRPr="00F17768">
        <w:rPr>
          <w:rFonts w:cs="Calibri"/>
          <w:szCs w:val="24"/>
        </w:rPr>
        <w:t>il Tribunale di Milano</w:t>
      </w:r>
      <w:r w:rsidR="00FB28E3" w:rsidRPr="00F17768">
        <w:rPr>
          <w:color w:val="000000"/>
          <w:szCs w:val="24"/>
        </w:rPr>
        <w:t xml:space="preserve">, in accoglimento della suddetta istanza, ha accolto la richiesta di proroga concedendo alla Società termine sino al </w:t>
      </w:r>
      <w:r w:rsidR="00FB28E3" w:rsidRPr="00F17768">
        <w:rPr>
          <w:color w:val="000000"/>
          <w:szCs w:val="24"/>
          <w:u w:val="single"/>
        </w:rPr>
        <w:t>22</w:t>
      </w:r>
      <w:r w:rsidR="00ED002B" w:rsidRPr="00F17768">
        <w:rPr>
          <w:color w:val="000000"/>
          <w:szCs w:val="24"/>
          <w:u w:val="single"/>
        </w:rPr>
        <w:t xml:space="preserve"> novembre </w:t>
      </w:r>
      <w:r w:rsidR="00FB28E3" w:rsidRPr="00F17768">
        <w:rPr>
          <w:color w:val="000000"/>
          <w:szCs w:val="24"/>
          <w:u w:val="single"/>
        </w:rPr>
        <w:t>2019</w:t>
      </w:r>
      <w:r w:rsidR="00FB28E3" w:rsidRPr="00F17768">
        <w:rPr>
          <w:color w:val="000000"/>
          <w:szCs w:val="24"/>
        </w:rPr>
        <w:t xml:space="preserve"> per il deposito della documentazione rilevante e prevista dalla normativa fallimentare</w:t>
      </w:r>
      <w:r w:rsidRPr="00F17768">
        <w:rPr>
          <w:color w:val="000000"/>
          <w:szCs w:val="24"/>
        </w:rPr>
        <w:t>;</w:t>
      </w:r>
    </w:p>
    <w:p w14:paraId="65B31C2F" w14:textId="77777777" w:rsidR="00B272C1" w:rsidRPr="00F17768" w:rsidRDefault="00B272C1" w:rsidP="00F17768">
      <w:pPr>
        <w:pStyle w:val="ListParagraph"/>
        <w:rPr>
          <w:color w:val="000000"/>
          <w:szCs w:val="24"/>
        </w:rPr>
      </w:pPr>
    </w:p>
    <w:p w14:paraId="2ED2BD40" w14:textId="61C4D665" w:rsidR="00B272C1" w:rsidRPr="00F17768" w:rsidRDefault="00B272C1" w:rsidP="00F17768">
      <w:pPr>
        <w:numPr>
          <w:ilvl w:val="0"/>
          <w:numId w:val="32"/>
        </w:numPr>
        <w:ind w:left="567" w:hanging="567"/>
        <w:jc w:val="both"/>
        <w:rPr>
          <w:color w:val="000000"/>
          <w:szCs w:val="24"/>
        </w:rPr>
      </w:pPr>
      <w:r w:rsidRPr="00F17768">
        <w:t xml:space="preserve">con ricorso depositato avanti il Tribunale di Milano in data 22 novembre 2019, la Società ha presentato domanda </w:t>
      </w:r>
      <w:r w:rsidRPr="00F17768">
        <w:rPr>
          <w:i/>
        </w:rPr>
        <w:t>ex</w:t>
      </w:r>
      <w:r w:rsidRPr="00F17768">
        <w:t xml:space="preserve"> artt. 160 e ss. e 186-</w:t>
      </w:r>
      <w:r w:rsidRPr="00F17768">
        <w:rPr>
          <w:i/>
          <w:iCs/>
        </w:rPr>
        <w:t>bis</w:t>
      </w:r>
      <w:r w:rsidRPr="00F17768">
        <w:t xml:space="preserve"> </w:t>
      </w:r>
      <w:r w:rsidR="00D60CBA" w:rsidRPr="00F17768">
        <w:rPr>
          <w:color w:val="000000"/>
          <w:szCs w:val="24"/>
        </w:rPr>
        <w:t>L.F.,</w:t>
      </w:r>
      <w:r w:rsidRPr="00F17768">
        <w:t xml:space="preserve"> corredata (i) del piano di cui al secondo comma, </w:t>
      </w:r>
      <w:proofErr w:type="spellStart"/>
      <w:r w:rsidRPr="00F17768">
        <w:t>lett</w:t>
      </w:r>
      <w:proofErr w:type="spellEnd"/>
      <w:r w:rsidRPr="00F17768">
        <w:t xml:space="preserve">. e), dell’art. 161 </w:t>
      </w:r>
      <w:r w:rsidR="00D60CBA" w:rsidRPr="00F17768">
        <w:rPr>
          <w:color w:val="000000"/>
          <w:szCs w:val="24"/>
        </w:rPr>
        <w:t>L.F.</w:t>
      </w:r>
      <w:r w:rsidRPr="00F17768">
        <w:t xml:space="preserve">, e (ii) della documentazione di cui ai commi secondo e terzo dell’art. 161, </w:t>
      </w:r>
      <w:r w:rsidR="00D60CBA" w:rsidRPr="00F17768">
        <w:rPr>
          <w:color w:val="000000"/>
          <w:szCs w:val="24"/>
        </w:rPr>
        <w:t>L.F.</w:t>
      </w:r>
      <w:r w:rsidR="00746A02" w:rsidRPr="00F17768">
        <w:rPr>
          <w:color w:val="000000"/>
          <w:szCs w:val="24"/>
        </w:rPr>
        <w:t xml:space="preserve">, attualmente </w:t>
      </w:r>
      <w:r w:rsidR="00746A02" w:rsidRPr="00F17768">
        <w:rPr>
          <w:i/>
          <w:iCs/>
          <w:color w:val="000000"/>
          <w:szCs w:val="24"/>
        </w:rPr>
        <w:t xml:space="preserve">sub </w:t>
      </w:r>
      <w:proofErr w:type="spellStart"/>
      <w:r w:rsidR="00746A02" w:rsidRPr="00F17768">
        <w:rPr>
          <w:i/>
          <w:iCs/>
          <w:color w:val="000000"/>
          <w:szCs w:val="24"/>
        </w:rPr>
        <w:t>iudice</w:t>
      </w:r>
      <w:proofErr w:type="spellEnd"/>
      <w:r w:rsidRPr="00845C51">
        <w:t>;</w:t>
      </w:r>
    </w:p>
    <w:p w14:paraId="3EA00258" w14:textId="77777777" w:rsidR="004E5D05" w:rsidRPr="00F17768" w:rsidRDefault="004E5D05" w:rsidP="00F17768">
      <w:pPr>
        <w:pStyle w:val="ListParagraph"/>
        <w:rPr>
          <w:color w:val="000000"/>
          <w:szCs w:val="24"/>
        </w:rPr>
      </w:pPr>
    </w:p>
    <w:p w14:paraId="633FFA3E" w14:textId="7BE40F0C" w:rsidR="00E52052" w:rsidRPr="00F17768" w:rsidRDefault="004E5D05" w:rsidP="00F17768">
      <w:pPr>
        <w:numPr>
          <w:ilvl w:val="0"/>
          <w:numId w:val="32"/>
        </w:numPr>
        <w:ind w:left="567" w:hanging="567"/>
        <w:jc w:val="both"/>
        <w:rPr>
          <w:color w:val="000000"/>
          <w:szCs w:val="24"/>
        </w:rPr>
      </w:pPr>
      <w:r w:rsidRPr="00F17768">
        <w:rPr>
          <w:color w:val="000000"/>
          <w:szCs w:val="24"/>
        </w:rPr>
        <w:lastRenderedPageBreak/>
        <w:t xml:space="preserve">Pessina è titolare di </w:t>
      </w:r>
      <w:r w:rsidRPr="00F17768">
        <w:rPr>
          <w:szCs w:val="24"/>
        </w:rPr>
        <w:t xml:space="preserve">n. 100 quote di partecipazione di classe A </w:t>
      </w:r>
      <w:r w:rsidR="00ED002B" w:rsidRPr="00F17768">
        <w:rPr>
          <w:szCs w:val="24"/>
        </w:rPr>
        <w:t>(le “</w:t>
      </w:r>
      <w:r w:rsidR="00ED002B" w:rsidRPr="00F17768">
        <w:rPr>
          <w:b/>
          <w:szCs w:val="24"/>
        </w:rPr>
        <w:t>Quote</w:t>
      </w:r>
      <w:r w:rsidR="00ED002B" w:rsidRPr="00F17768">
        <w:rPr>
          <w:szCs w:val="24"/>
        </w:rPr>
        <w:t xml:space="preserve">”) </w:t>
      </w:r>
      <w:r w:rsidRPr="00F17768">
        <w:rPr>
          <w:szCs w:val="24"/>
        </w:rPr>
        <w:t xml:space="preserve">del fondo di investimento alternativo immobiliare chiuso, riservato ad investitori professionali e/o individuati dal regolamento di cui all’articolo 39 del D. </w:t>
      </w:r>
      <w:proofErr w:type="spellStart"/>
      <w:r w:rsidRPr="00F17768">
        <w:rPr>
          <w:szCs w:val="24"/>
        </w:rPr>
        <w:t>Lgs</w:t>
      </w:r>
      <w:proofErr w:type="spellEnd"/>
      <w:r w:rsidRPr="00F17768">
        <w:rPr>
          <w:szCs w:val="24"/>
        </w:rPr>
        <w:t>. 24.02.1998, n. 58 (il “</w:t>
      </w:r>
      <w:r w:rsidRPr="00F17768">
        <w:rPr>
          <w:b/>
          <w:szCs w:val="24"/>
        </w:rPr>
        <w:t>TUF</w:t>
      </w:r>
      <w:r w:rsidRPr="00F17768">
        <w:rPr>
          <w:szCs w:val="24"/>
        </w:rPr>
        <w:t xml:space="preserve">”), denominato “J. </w:t>
      </w:r>
      <w:proofErr w:type="spellStart"/>
      <w:r w:rsidRPr="00F17768">
        <w:rPr>
          <w:szCs w:val="24"/>
        </w:rPr>
        <w:t>Village</w:t>
      </w:r>
      <w:proofErr w:type="spellEnd"/>
      <w:r w:rsidRPr="00F17768">
        <w:rPr>
          <w:szCs w:val="24"/>
        </w:rPr>
        <w:t>”, istituito in data 26</w:t>
      </w:r>
      <w:r w:rsidR="00ED002B" w:rsidRPr="00F17768">
        <w:rPr>
          <w:szCs w:val="24"/>
        </w:rPr>
        <w:t xml:space="preserve"> febbraio </w:t>
      </w:r>
      <w:r w:rsidRPr="00F17768">
        <w:rPr>
          <w:szCs w:val="24"/>
        </w:rPr>
        <w:t>2015 (il “</w:t>
      </w:r>
      <w:r w:rsidRPr="00F17768">
        <w:rPr>
          <w:b/>
          <w:szCs w:val="24"/>
        </w:rPr>
        <w:t>Fondo</w:t>
      </w:r>
      <w:r w:rsidRPr="00F17768">
        <w:rPr>
          <w:szCs w:val="24"/>
        </w:rPr>
        <w:t>”)</w:t>
      </w:r>
      <w:r w:rsidR="00ED002B" w:rsidRPr="00F17768">
        <w:rPr>
          <w:szCs w:val="24"/>
        </w:rPr>
        <w:t>, del valore nominale di Euro 100.000,00 (centomila/00) l’una, per un importo complessivo di Euro 10.000.000,00 (</w:t>
      </w:r>
      <w:proofErr w:type="spellStart"/>
      <w:r w:rsidR="00ED002B" w:rsidRPr="00F17768">
        <w:rPr>
          <w:szCs w:val="24"/>
        </w:rPr>
        <w:t>diecimilioni</w:t>
      </w:r>
      <w:proofErr w:type="spellEnd"/>
      <w:r w:rsidR="00ED002B" w:rsidRPr="00F17768">
        <w:rPr>
          <w:szCs w:val="24"/>
        </w:rPr>
        <w:t>/00)</w:t>
      </w:r>
      <w:r w:rsidR="00455814" w:rsidRPr="00F17768">
        <w:rPr>
          <w:szCs w:val="24"/>
        </w:rPr>
        <w:t>;</w:t>
      </w:r>
      <w:r w:rsidR="00E52052" w:rsidRPr="00F17768">
        <w:rPr>
          <w:color w:val="000000"/>
          <w:szCs w:val="24"/>
        </w:rPr>
        <w:t xml:space="preserve"> </w:t>
      </w:r>
      <w:r w:rsidR="00E52052" w:rsidRPr="00F17768">
        <w:t xml:space="preserve">da pag. 32 della relazione semestrale di gestione del Fondo </w:t>
      </w:r>
      <w:r w:rsidR="00F46A5C" w:rsidRPr="00F17768">
        <w:t>a</w:t>
      </w:r>
      <w:r w:rsidR="00E52052" w:rsidRPr="00F17768">
        <w:t>l 30 giugno 2019 si evince, invece, che il valore unitario delle medesime Quote è pari ad Euro 95.868,62 (</w:t>
      </w:r>
      <w:proofErr w:type="spellStart"/>
      <w:r w:rsidR="00E52052" w:rsidRPr="00F17768">
        <w:t>novantacinquemilaottocentosessantotto</w:t>
      </w:r>
      <w:proofErr w:type="spellEnd"/>
      <w:r w:rsidR="00E52052" w:rsidRPr="00F17768">
        <w:t>/62), che moltiplicato per il numero di Quote, risulta essere pari complessivamente ad Euro 9.586.862,30 (</w:t>
      </w:r>
      <w:proofErr w:type="spellStart"/>
      <w:r w:rsidR="00E52052" w:rsidRPr="00F17768">
        <w:t>novemilionicinquecentoottantaseimilaottocentosessantadue</w:t>
      </w:r>
      <w:proofErr w:type="spellEnd"/>
      <w:r w:rsidR="00E52052" w:rsidRPr="00F17768">
        <w:t>/30);</w:t>
      </w:r>
    </w:p>
    <w:p w14:paraId="1A01C5AB" w14:textId="77777777" w:rsidR="00FB28E3" w:rsidRPr="00F17768" w:rsidRDefault="00FB28E3" w:rsidP="00F17768">
      <w:pPr>
        <w:rPr>
          <w:color w:val="000000"/>
          <w:szCs w:val="24"/>
        </w:rPr>
      </w:pPr>
    </w:p>
    <w:p w14:paraId="51090185" w14:textId="1DA373FA" w:rsidR="00AB559E" w:rsidRPr="00F17768" w:rsidRDefault="00B272C1" w:rsidP="00F17768">
      <w:pPr>
        <w:numPr>
          <w:ilvl w:val="0"/>
          <w:numId w:val="32"/>
        </w:numPr>
        <w:ind w:left="567" w:hanging="567"/>
        <w:jc w:val="both"/>
        <w:rPr>
          <w:rFonts w:cs="Calibri"/>
          <w:szCs w:val="24"/>
        </w:rPr>
      </w:pPr>
      <w:r w:rsidRPr="00F17768">
        <w:rPr>
          <w:rFonts w:cs="Calibri"/>
          <w:szCs w:val="24"/>
        </w:rPr>
        <w:t>con decreto del 14-2</w:t>
      </w:r>
      <w:r w:rsidR="002F6CD3" w:rsidRPr="00F17768">
        <w:rPr>
          <w:rFonts w:cs="Calibri"/>
          <w:szCs w:val="24"/>
        </w:rPr>
        <w:t>7</w:t>
      </w:r>
      <w:r w:rsidRPr="00F17768">
        <w:rPr>
          <w:rFonts w:cs="Calibri"/>
          <w:szCs w:val="24"/>
        </w:rPr>
        <w:t xml:space="preserve"> novembre 2019, comunicato a Pessina in data 28 novembre 2019, </w:t>
      </w:r>
      <w:r w:rsidR="00ED002B" w:rsidRPr="00F17768">
        <w:rPr>
          <w:rFonts w:cs="Calibri"/>
          <w:szCs w:val="24"/>
        </w:rPr>
        <w:t>i</w:t>
      </w:r>
      <w:r w:rsidR="00AB559E" w:rsidRPr="00F17768">
        <w:rPr>
          <w:rFonts w:cs="Calibri"/>
          <w:szCs w:val="24"/>
        </w:rPr>
        <w:t xml:space="preserve">l Tribunale di Milano ha autorizzato la Società alla pubblicazione del presente avviso e all’apertura del </w:t>
      </w:r>
      <w:bookmarkStart w:id="0" w:name="_Hlk21459576"/>
      <w:r w:rsidR="00AB559E" w:rsidRPr="00F17768">
        <w:rPr>
          <w:rFonts w:cs="Calibri"/>
          <w:szCs w:val="24"/>
        </w:rPr>
        <w:t xml:space="preserve">procedimento competitivo </w:t>
      </w:r>
      <w:r w:rsidR="00AB559E" w:rsidRPr="00F17768">
        <w:rPr>
          <w:szCs w:val="24"/>
        </w:rPr>
        <w:t xml:space="preserve">per la vendita </w:t>
      </w:r>
      <w:r w:rsidR="004E5D05" w:rsidRPr="00F17768">
        <w:rPr>
          <w:szCs w:val="24"/>
        </w:rPr>
        <w:t>delle predette Quote</w:t>
      </w:r>
      <w:r w:rsidR="00455814" w:rsidRPr="00F17768">
        <w:rPr>
          <w:szCs w:val="24"/>
        </w:rPr>
        <w:t>;</w:t>
      </w:r>
      <w:bookmarkEnd w:id="0"/>
    </w:p>
    <w:p w14:paraId="4A750DFD" w14:textId="77777777" w:rsidR="00ED002B" w:rsidRPr="00F17768" w:rsidRDefault="00ED002B" w:rsidP="00F17768">
      <w:pPr>
        <w:pStyle w:val="ListParagraph"/>
        <w:rPr>
          <w:rFonts w:cs="Calibri"/>
          <w:szCs w:val="24"/>
        </w:rPr>
      </w:pPr>
    </w:p>
    <w:p w14:paraId="618C2155" w14:textId="77777777" w:rsidR="00AB559E" w:rsidRPr="00F17768" w:rsidRDefault="00AB559E" w:rsidP="00F17768">
      <w:pPr>
        <w:autoSpaceDE w:val="0"/>
        <w:autoSpaceDN w:val="0"/>
        <w:adjustRightInd w:val="0"/>
        <w:jc w:val="center"/>
        <w:rPr>
          <w:rFonts w:cs="CenturyGothic-Bold"/>
          <w:b/>
          <w:bCs/>
          <w:szCs w:val="24"/>
        </w:rPr>
      </w:pPr>
      <w:r w:rsidRPr="00F17768">
        <w:rPr>
          <w:rFonts w:cs="CenturyGothic-Bold"/>
          <w:b/>
          <w:bCs/>
          <w:szCs w:val="24"/>
        </w:rPr>
        <w:t>invita</w:t>
      </w:r>
    </w:p>
    <w:p w14:paraId="57E7A7CC" w14:textId="77777777" w:rsidR="00AB559E" w:rsidRPr="00F17768" w:rsidRDefault="00AB559E" w:rsidP="00F17768">
      <w:pPr>
        <w:autoSpaceDE w:val="0"/>
        <w:autoSpaceDN w:val="0"/>
        <w:adjustRightInd w:val="0"/>
        <w:jc w:val="center"/>
        <w:rPr>
          <w:rFonts w:cs="CenturyGothic-Bold"/>
          <w:b/>
          <w:bCs/>
          <w:szCs w:val="24"/>
        </w:rPr>
      </w:pPr>
    </w:p>
    <w:p w14:paraId="6D1D28DB" w14:textId="77777777" w:rsidR="00AB559E" w:rsidRPr="00F17768" w:rsidRDefault="00AB559E" w:rsidP="00F17768">
      <w:pPr>
        <w:autoSpaceDE w:val="0"/>
        <w:autoSpaceDN w:val="0"/>
        <w:adjustRightInd w:val="0"/>
        <w:jc w:val="both"/>
        <w:rPr>
          <w:rFonts w:cs="CenturyGothic"/>
          <w:szCs w:val="24"/>
        </w:rPr>
      </w:pPr>
      <w:r w:rsidRPr="00F17768">
        <w:rPr>
          <w:rFonts w:cs="CenturyGothic-Bold"/>
          <w:bCs/>
          <w:szCs w:val="24"/>
        </w:rPr>
        <w:t xml:space="preserve">alla presentazione di offerte di acquisto per </w:t>
      </w:r>
      <w:r w:rsidR="00FB28E3" w:rsidRPr="00F17768">
        <w:rPr>
          <w:rFonts w:cs="CenturyGothic-Bold"/>
          <w:bCs/>
          <w:szCs w:val="24"/>
        </w:rPr>
        <w:t>le Quote</w:t>
      </w:r>
      <w:r w:rsidRPr="00F17768">
        <w:rPr>
          <w:rFonts w:cs="CenturyGothic"/>
          <w:szCs w:val="24"/>
        </w:rPr>
        <w:t>, disponendo l’apertura di un procedimento competitivo ai termini e condizioni di seguito indicati.</w:t>
      </w:r>
    </w:p>
    <w:p w14:paraId="12B53B0B" w14:textId="77777777" w:rsidR="00894D16" w:rsidRPr="00F17768" w:rsidRDefault="00894D16" w:rsidP="00F17768">
      <w:pPr>
        <w:autoSpaceDE w:val="0"/>
        <w:autoSpaceDN w:val="0"/>
        <w:adjustRightInd w:val="0"/>
        <w:jc w:val="both"/>
        <w:rPr>
          <w:rFonts w:cs="CenturyGothic"/>
          <w:szCs w:val="24"/>
        </w:rPr>
      </w:pPr>
    </w:p>
    <w:p w14:paraId="4DA6D49C" w14:textId="77777777" w:rsidR="00894D16" w:rsidRPr="00F17768" w:rsidRDefault="00894D16" w:rsidP="00F17768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567" w:hanging="567"/>
        <w:contextualSpacing w:val="0"/>
        <w:jc w:val="both"/>
        <w:rPr>
          <w:rFonts w:cs="CenturyGothic-Bold"/>
          <w:b/>
          <w:bCs/>
          <w:smallCaps/>
          <w:szCs w:val="24"/>
        </w:rPr>
      </w:pPr>
      <w:r w:rsidRPr="00F17768">
        <w:rPr>
          <w:rFonts w:cs="CenturyGothic-Bold"/>
          <w:b/>
          <w:bCs/>
          <w:smallCaps/>
          <w:szCs w:val="24"/>
        </w:rPr>
        <w:t>Le Quote</w:t>
      </w:r>
    </w:p>
    <w:p w14:paraId="143746AE" w14:textId="77777777" w:rsidR="00AB559E" w:rsidRPr="00F17768" w:rsidRDefault="00AB559E" w:rsidP="00F17768">
      <w:pPr>
        <w:autoSpaceDE w:val="0"/>
        <w:autoSpaceDN w:val="0"/>
        <w:adjustRightInd w:val="0"/>
        <w:jc w:val="both"/>
        <w:rPr>
          <w:rFonts w:cs="CenturyGothic"/>
          <w:szCs w:val="24"/>
        </w:rPr>
      </w:pPr>
    </w:p>
    <w:p w14:paraId="279F4B2B" w14:textId="7B20718A" w:rsidR="00894D16" w:rsidRPr="00F17768" w:rsidRDefault="00894D16" w:rsidP="00F17768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jc w:val="both"/>
        <w:rPr>
          <w:rFonts w:cs="CenturyGothic"/>
          <w:szCs w:val="24"/>
        </w:rPr>
      </w:pPr>
      <w:r w:rsidRPr="00F17768">
        <w:rPr>
          <w:rFonts w:cs="CenturyGothic"/>
          <w:szCs w:val="24"/>
        </w:rPr>
        <w:t xml:space="preserve">Le Quote possono essere sottoscritte e acquistate solo </w:t>
      </w:r>
      <w:r w:rsidR="00ED6AA8" w:rsidRPr="00F17768">
        <w:rPr>
          <w:rFonts w:cs="CenturyGothic"/>
          <w:szCs w:val="24"/>
        </w:rPr>
        <w:t>d</w:t>
      </w:r>
      <w:r w:rsidRPr="00F17768">
        <w:rPr>
          <w:szCs w:val="24"/>
        </w:rPr>
        <w:t>a quei soggetti che rientrano:</w:t>
      </w:r>
    </w:p>
    <w:p w14:paraId="25136ED0" w14:textId="77777777" w:rsidR="00894D16" w:rsidRPr="00F17768" w:rsidRDefault="00894D16" w:rsidP="00F17768">
      <w:pPr>
        <w:pStyle w:val="ListParagraph"/>
        <w:widowControl w:val="0"/>
        <w:suppressAutoHyphens/>
        <w:ind w:left="1134"/>
        <w:contextualSpacing w:val="0"/>
        <w:jc w:val="both"/>
        <w:rPr>
          <w:szCs w:val="24"/>
        </w:rPr>
      </w:pPr>
    </w:p>
    <w:p w14:paraId="24F9A99A" w14:textId="77777777" w:rsidR="0083439E" w:rsidRPr="00F17768" w:rsidRDefault="00894D16" w:rsidP="00F17768">
      <w:pPr>
        <w:pStyle w:val="ListParagraph"/>
        <w:widowControl w:val="0"/>
        <w:numPr>
          <w:ilvl w:val="0"/>
          <w:numId w:val="47"/>
        </w:numPr>
        <w:suppressAutoHyphens/>
        <w:ind w:left="1134" w:hanging="567"/>
        <w:jc w:val="both"/>
        <w:rPr>
          <w:szCs w:val="24"/>
        </w:rPr>
      </w:pPr>
      <w:r w:rsidRPr="00F17768">
        <w:rPr>
          <w:szCs w:val="24"/>
        </w:rPr>
        <w:t>nella nozione di “</w:t>
      </w:r>
      <w:r w:rsidRPr="00F17768">
        <w:rPr>
          <w:i/>
          <w:iCs/>
          <w:szCs w:val="24"/>
        </w:rPr>
        <w:t>investitori professionali</w:t>
      </w:r>
      <w:r w:rsidRPr="00F17768">
        <w:rPr>
          <w:szCs w:val="24"/>
        </w:rPr>
        <w:t>” indicati all’articolo 1, comma 1</w:t>
      </w:r>
      <w:r w:rsidR="00ED002B" w:rsidRPr="00F17768">
        <w:rPr>
          <w:szCs w:val="24"/>
        </w:rPr>
        <w:t>,</w:t>
      </w:r>
      <w:r w:rsidRPr="00F17768">
        <w:rPr>
          <w:szCs w:val="24"/>
        </w:rPr>
        <w:t xml:space="preserve"> lettere</w:t>
      </w:r>
      <w:r w:rsidR="00455814" w:rsidRPr="00F17768">
        <w:rPr>
          <w:szCs w:val="24"/>
        </w:rPr>
        <w:t xml:space="preserve"> </w:t>
      </w:r>
      <w:r w:rsidRPr="00F17768">
        <w:rPr>
          <w:szCs w:val="24"/>
        </w:rPr>
        <w:t>m-</w:t>
      </w:r>
      <w:r w:rsidRPr="00F17768">
        <w:rPr>
          <w:i/>
          <w:iCs/>
          <w:szCs w:val="24"/>
        </w:rPr>
        <w:t xml:space="preserve">quater </w:t>
      </w:r>
      <w:r w:rsidRPr="00F17768">
        <w:rPr>
          <w:szCs w:val="24"/>
        </w:rPr>
        <w:t>e m-</w:t>
      </w:r>
      <w:proofErr w:type="spellStart"/>
      <w:r w:rsidRPr="00F17768">
        <w:rPr>
          <w:i/>
          <w:iCs/>
          <w:szCs w:val="24"/>
        </w:rPr>
        <w:t>undecies</w:t>
      </w:r>
      <w:proofErr w:type="spellEnd"/>
      <w:r w:rsidRPr="00F17768">
        <w:rPr>
          <w:szCs w:val="24"/>
        </w:rPr>
        <w:t>)</w:t>
      </w:r>
      <w:r w:rsidR="00ED002B" w:rsidRPr="00F17768">
        <w:rPr>
          <w:szCs w:val="24"/>
        </w:rPr>
        <w:t>,</w:t>
      </w:r>
      <w:r w:rsidRPr="00F17768">
        <w:rPr>
          <w:szCs w:val="24"/>
        </w:rPr>
        <w:t xml:space="preserve"> del TUF; e/o </w:t>
      </w:r>
    </w:p>
    <w:p w14:paraId="39A4638F" w14:textId="77777777" w:rsidR="0083439E" w:rsidRPr="00F17768" w:rsidRDefault="0083439E" w:rsidP="00F17768">
      <w:pPr>
        <w:pStyle w:val="ListParagraph"/>
        <w:widowControl w:val="0"/>
        <w:suppressAutoHyphens/>
        <w:ind w:left="1134"/>
        <w:jc w:val="both"/>
        <w:rPr>
          <w:szCs w:val="24"/>
        </w:rPr>
      </w:pPr>
    </w:p>
    <w:p w14:paraId="39FD8516" w14:textId="5561EEAF" w:rsidR="00894D16" w:rsidRPr="00F17768" w:rsidRDefault="00894D16" w:rsidP="00F17768">
      <w:pPr>
        <w:pStyle w:val="ListParagraph"/>
        <w:widowControl w:val="0"/>
        <w:numPr>
          <w:ilvl w:val="0"/>
          <w:numId w:val="47"/>
        </w:numPr>
        <w:suppressAutoHyphens/>
        <w:ind w:left="1134" w:hanging="567"/>
        <w:jc w:val="both"/>
        <w:rPr>
          <w:szCs w:val="24"/>
        </w:rPr>
      </w:pPr>
      <w:r w:rsidRPr="00F17768">
        <w:rPr>
          <w:szCs w:val="24"/>
        </w:rPr>
        <w:t>nelle categorie di investitori individuate dal regolamento di cui all’articolo 39 del TUF, ossia il D.M. n. 30/2015, come di volta in volta modificato ed integrato e relative disposizioni transitorie</w:t>
      </w:r>
      <w:bookmarkStart w:id="1" w:name="_Hlk21079058"/>
      <w:r w:rsidR="00E81EB2" w:rsidRPr="00F17768">
        <w:rPr>
          <w:szCs w:val="24"/>
        </w:rPr>
        <w:t>.</w:t>
      </w:r>
    </w:p>
    <w:p w14:paraId="4DE763E0" w14:textId="77777777" w:rsidR="00961320" w:rsidRPr="00F17768" w:rsidRDefault="00961320" w:rsidP="00F17768">
      <w:pPr>
        <w:pStyle w:val="ListParagraph"/>
        <w:rPr>
          <w:szCs w:val="24"/>
        </w:rPr>
      </w:pPr>
    </w:p>
    <w:p w14:paraId="5BACB276" w14:textId="165C1BEC" w:rsidR="00894D16" w:rsidRPr="00F17768" w:rsidRDefault="00894D16" w:rsidP="00F17768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jc w:val="both"/>
        <w:rPr>
          <w:szCs w:val="24"/>
        </w:rPr>
      </w:pPr>
      <w:r w:rsidRPr="00F17768">
        <w:rPr>
          <w:szCs w:val="24"/>
        </w:rPr>
        <w:t xml:space="preserve">Con </w:t>
      </w:r>
      <w:r w:rsidRPr="00F17768">
        <w:rPr>
          <w:rFonts w:cs="CenturyGothic"/>
          <w:szCs w:val="24"/>
        </w:rPr>
        <w:t>riferimento</w:t>
      </w:r>
      <w:r w:rsidRPr="00F17768">
        <w:rPr>
          <w:szCs w:val="24"/>
        </w:rPr>
        <w:t xml:space="preserve"> ad eventuali diritti reali di garanzia sulle Quote, si segnala che in data</w:t>
      </w:r>
      <w:r w:rsidRPr="00F17768">
        <w:rPr>
          <w:b/>
          <w:szCs w:val="24"/>
        </w:rPr>
        <w:t xml:space="preserve"> </w:t>
      </w:r>
      <w:r w:rsidRPr="00F17768">
        <w:rPr>
          <w:szCs w:val="24"/>
        </w:rPr>
        <w:t>22</w:t>
      </w:r>
      <w:r w:rsidR="00ED002B" w:rsidRPr="00F17768">
        <w:rPr>
          <w:szCs w:val="24"/>
        </w:rPr>
        <w:t xml:space="preserve"> febbraio </w:t>
      </w:r>
      <w:r w:rsidRPr="00F17768">
        <w:rPr>
          <w:szCs w:val="24"/>
        </w:rPr>
        <w:t xml:space="preserve">2019, Pessina ha costituito pegno </w:t>
      </w:r>
      <w:r w:rsidR="00455814" w:rsidRPr="00F17768">
        <w:rPr>
          <w:szCs w:val="24"/>
        </w:rPr>
        <w:t xml:space="preserve">su n. 20 Quote, per </w:t>
      </w:r>
      <w:r w:rsidR="00E11245" w:rsidRPr="00F17768">
        <w:rPr>
          <w:szCs w:val="24"/>
        </w:rPr>
        <w:t xml:space="preserve">l’importo complessivo di Euro </w:t>
      </w:r>
      <w:r w:rsidR="00455814" w:rsidRPr="00F17768">
        <w:rPr>
          <w:szCs w:val="24"/>
        </w:rPr>
        <w:t>2.000.000,00</w:t>
      </w:r>
      <w:r w:rsidR="00A44FA2" w:rsidRPr="00F17768">
        <w:rPr>
          <w:szCs w:val="24"/>
        </w:rPr>
        <w:t xml:space="preserve"> (il “</w:t>
      </w:r>
      <w:r w:rsidR="00A44FA2" w:rsidRPr="00F17768">
        <w:rPr>
          <w:b/>
          <w:szCs w:val="24"/>
        </w:rPr>
        <w:t>Pegno</w:t>
      </w:r>
      <w:r w:rsidR="00A44FA2" w:rsidRPr="00F17768">
        <w:rPr>
          <w:szCs w:val="24"/>
        </w:rPr>
        <w:t>”)</w:t>
      </w:r>
      <w:r w:rsidR="00455814" w:rsidRPr="00F17768">
        <w:rPr>
          <w:szCs w:val="24"/>
        </w:rPr>
        <w:t>.</w:t>
      </w:r>
    </w:p>
    <w:p w14:paraId="0B472D3D" w14:textId="77777777" w:rsidR="00894D16" w:rsidRPr="00F17768" w:rsidRDefault="00894D16" w:rsidP="00F17768">
      <w:pPr>
        <w:autoSpaceDE w:val="0"/>
        <w:autoSpaceDN w:val="0"/>
        <w:adjustRightInd w:val="0"/>
        <w:ind w:left="567"/>
        <w:jc w:val="both"/>
        <w:rPr>
          <w:szCs w:val="24"/>
        </w:rPr>
      </w:pPr>
    </w:p>
    <w:p w14:paraId="449F44DE" w14:textId="241BCDB4" w:rsidR="00894D16" w:rsidRPr="00F17768" w:rsidRDefault="00894D16" w:rsidP="00F17768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jc w:val="both"/>
        <w:rPr>
          <w:szCs w:val="24"/>
        </w:rPr>
      </w:pPr>
      <w:r w:rsidRPr="00F17768">
        <w:rPr>
          <w:szCs w:val="24"/>
        </w:rPr>
        <w:t xml:space="preserve">Il </w:t>
      </w:r>
      <w:r w:rsidR="00455814" w:rsidRPr="00F17768">
        <w:rPr>
          <w:rFonts w:cs="CenturyGothic"/>
          <w:szCs w:val="24"/>
        </w:rPr>
        <w:t>r</w:t>
      </w:r>
      <w:r w:rsidRPr="00F17768">
        <w:rPr>
          <w:rFonts w:cs="CenturyGothic"/>
          <w:szCs w:val="24"/>
        </w:rPr>
        <w:t>egolamento</w:t>
      </w:r>
      <w:r w:rsidR="00455814" w:rsidRPr="00F17768">
        <w:rPr>
          <w:szCs w:val="24"/>
        </w:rPr>
        <w:t xml:space="preserve"> del Fondo</w:t>
      </w:r>
      <w:r w:rsidRPr="00F17768">
        <w:rPr>
          <w:szCs w:val="24"/>
        </w:rPr>
        <w:t>, al paragrafo 11.12, conferisce ai sottoscrittori delle quote di classe A (</w:t>
      </w:r>
      <w:r w:rsidRPr="00F17768">
        <w:rPr>
          <w:i/>
          <w:szCs w:val="24"/>
        </w:rPr>
        <w:t xml:space="preserve">i.e. </w:t>
      </w:r>
      <w:r w:rsidRPr="00F17768">
        <w:rPr>
          <w:szCs w:val="24"/>
        </w:rPr>
        <w:t>la medesima classe a cui appartengono le Quote) il diritto di prelazione sulle Quote</w:t>
      </w:r>
      <w:r w:rsidR="00E40484" w:rsidRPr="00F17768">
        <w:rPr>
          <w:szCs w:val="24"/>
        </w:rPr>
        <w:t xml:space="preserve"> (il “</w:t>
      </w:r>
      <w:r w:rsidR="00E40484" w:rsidRPr="00F17768">
        <w:rPr>
          <w:b/>
          <w:szCs w:val="24"/>
        </w:rPr>
        <w:t>Diritto di Prelazione</w:t>
      </w:r>
      <w:r w:rsidR="00E40484" w:rsidRPr="00F17768">
        <w:rPr>
          <w:szCs w:val="24"/>
        </w:rPr>
        <w:t>”)</w:t>
      </w:r>
      <w:r w:rsidRPr="00F17768">
        <w:rPr>
          <w:szCs w:val="24"/>
        </w:rPr>
        <w:t>; ove Pessina voglia cedere le Quote deve darne preventiva comunicazione agli altri partecipanti del Fondo</w:t>
      </w:r>
      <w:r w:rsidR="000C3D58" w:rsidRPr="00F17768">
        <w:rPr>
          <w:szCs w:val="24"/>
        </w:rPr>
        <w:t>,</w:t>
      </w:r>
      <w:r w:rsidRPr="00F17768">
        <w:rPr>
          <w:szCs w:val="24"/>
        </w:rPr>
        <w:t xml:space="preserve"> con in copia conoscenza la società di gestione del Fondo</w:t>
      </w:r>
      <w:r w:rsidR="00FF6246" w:rsidRPr="00F17768">
        <w:rPr>
          <w:szCs w:val="24"/>
        </w:rPr>
        <w:t xml:space="preserve">, </w:t>
      </w:r>
      <w:r w:rsidRPr="00F17768">
        <w:rPr>
          <w:szCs w:val="24"/>
        </w:rPr>
        <w:t xml:space="preserve">indicando: </w:t>
      </w:r>
      <w:r w:rsidRPr="00F17768">
        <w:rPr>
          <w:i/>
          <w:szCs w:val="24"/>
        </w:rPr>
        <w:t>(a)</w:t>
      </w:r>
      <w:r w:rsidRPr="00F17768">
        <w:rPr>
          <w:szCs w:val="24"/>
        </w:rPr>
        <w:t xml:space="preserve"> il numero di quote oggetto di cessione; </w:t>
      </w:r>
      <w:r w:rsidRPr="00F17768">
        <w:rPr>
          <w:i/>
          <w:szCs w:val="24"/>
        </w:rPr>
        <w:t>(b)</w:t>
      </w:r>
      <w:r w:rsidRPr="00F17768">
        <w:rPr>
          <w:szCs w:val="24"/>
        </w:rPr>
        <w:t xml:space="preserve"> il prezzo offerto dal cessionario; </w:t>
      </w:r>
      <w:r w:rsidRPr="00F17768">
        <w:rPr>
          <w:i/>
          <w:szCs w:val="24"/>
        </w:rPr>
        <w:t>(c)</w:t>
      </w:r>
      <w:r w:rsidRPr="00F17768">
        <w:rPr>
          <w:szCs w:val="24"/>
        </w:rPr>
        <w:t xml:space="preserve"> il termine di trenta giorni entro il quale l’interessato potrà esercitare il </w:t>
      </w:r>
      <w:r w:rsidR="00E40484" w:rsidRPr="00F17768">
        <w:rPr>
          <w:szCs w:val="24"/>
        </w:rPr>
        <w:t>D</w:t>
      </w:r>
      <w:r w:rsidRPr="00F17768">
        <w:rPr>
          <w:szCs w:val="24"/>
        </w:rPr>
        <w:t xml:space="preserve">iritto di </w:t>
      </w:r>
      <w:r w:rsidR="00E40484" w:rsidRPr="00F17768">
        <w:rPr>
          <w:szCs w:val="24"/>
        </w:rPr>
        <w:t>P</w:t>
      </w:r>
      <w:r w:rsidRPr="00F17768">
        <w:rPr>
          <w:szCs w:val="24"/>
        </w:rPr>
        <w:t>relazione (ed ogni altro elemento utile ai fini della valutazione dell’offerta da parte di quest’ultimo</w:t>
      </w:r>
      <w:r w:rsidR="00BF2710" w:rsidRPr="00F17768">
        <w:rPr>
          <w:szCs w:val="24"/>
        </w:rPr>
        <w:t>)</w:t>
      </w:r>
      <w:r w:rsidR="000C3D58" w:rsidRPr="00F17768">
        <w:rPr>
          <w:szCs w:val="24"/>
        </w:rPr>
        <w:t>. S</w:t>
      </w:r>
      <w:r w:rsidRPr="00F17768">
        <w:rPr>
          <w:szCs w:val="24"/>
        </w:rPr>
        <w:t xml:space="preserve">empre ai sensi del paragrafo 11.12 del </w:t>
      </w:r>
      <w:r w:rsidR="00054548" w:rsidRPr="00F17768">
        <w:rPr>
          <w:szCs w:val="24"/>
        </w:rPr>
        <w:t>Regolamento del Fondo</w:t>
      </w:r>
      <w:r w:rsidRPr="00F17768">
        <w:rPr>
          <w:szCs w:val="24"/>
        </w:rPr>
        <w:t>, con l’esercizio del</w:t>
      </w:r>
      <w:r w:rsidR="00E40484" w:rsidRPr="00F17768">
        <w:rPr>
          <w:szCs w:val="24"/>
        </w:rPr>
        <w:t xml:space="preserve"> Diritto di Prelazione</w:t>
      </w:r>
      <w:r w:rsidRPr="00F17768">
        <w:rPr>
          <w:szCs w:val="24"/>
        </w:rPr>
        <w:t xml:space="preserve">, i </w:t>
      </w:r>
      <w:proofErr w:type="spellStart"/>
      <w:r w:rsidR="00E40484" w:rsidRPr="00F17768">
        <w:rPr>
          <w:szCs w:val="24"/>
        </w:rPr>
        <w:t>p</w:t>
      </w:r>
      <w:r w:rsidRPr="00F17768">
        <w:rPr>
          <w:szCs w:val="24"/>
        </w:rPr>
        <w:t>relazionari</w:t>
      </w:r>
      <w:proofErr w:type="spellEnd"/>
      <w:r w:rsidRPr="00F17768">
        <w:rPr>
          <w:szCs w:val="24"/>
        </w:rPr>
        <w:t xml:space="preserve"> si </w:t>
      </w:r>
      <w:r w:rsidRPr="00F17768">
        <w:rPr>
          <w:szCs w:val="24"/>
        </w:rPr>
        <w:lastRenderedPageBreak/>
        <w:t>obbligano irrevocabilmente all’acquisto delle Quote, alle condizioni previste nella comunicazione inviata dal cedente ed in proporzione alle quote possedute</w:t>
      </w:r>
      <w:bookmarkEnd w:id="1"/>
      <w:r w:rsidR="00FF6246" w:rsidRPr="00F17768">
        <w:rPr>
          <w:szCs w:val="24"/>
        </w:rPr>
        <w:t>.</w:t>
      </w:r>
    </w:p>
    <w:p w14:paraId="2D21CBF8" w14:textId="77777777" w:rsidR="00894D16" w:rsidRPr="00F17768" w:rsidRDefault="00894D16" w:rsidP="00F17768">
      <w:pPr>
        <w:autoSpaceDE w:val="0"/>
        <w:autoSpaceDN w:val="0"/>
        <w:adjustRightInd w:val="0"/>
        <w:jc w:val="both"/>
        <w:rPr>
          <w:rFonts w:cs="CenturyGothic-Bold"/>
          <w:b/>
          <w:bCs/>
          <w:szCs w:val="24"/>
        </w:rPr>
      </w:pPr>
    </w:p>
    <w:p w14:paraId="049AC256" w14:textId="77777777" w:rsidR="00AB559E" w:rsidRPr="00F17768" w:rsidRDefault="00AB559E" w:rsidP="00F17768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567" w:hanging="567"/>
        <w:contextualSpacing w:val="0"/>
        <w:jc w:val="both"/>
        <w:rPr>
          <w:rFonts w:cs="CenturyGothic-Bold"/>
          <w:b/>
          <w:bCs/>
          <w:szCs w:val="24"/>
        </w:rPr>
      </w:pPr>
      <w:r w:rsidRPr="00F17768">
        <w:rPr>
          <w:rFonts w:cs="CenturyGothic-Bold"/>
          <w:b/>
          <w:bCs/>
          <w:smallCaps/>
          <w:szCs w:val="24"/>
        </w:rPr>
        <w:t>Termini e condizioni per la presentazione delle offerte</w:t>
      </w:r>
    </w:p>
    <w:p w14:paraId="401E1D88" w14:textId="77777777" w:rsidR="00AB559E" w:rsidRPr="00F17768" w:rsidRDefault="00AB559E" w:rsidP="00F17768">
      <w:pPr>
        <w:autoSpaceDE w:val="0"/>
        <w:autoSpaceDN w:val="0"/>
        <w:adjustRightInd w:val="0"/>
        <w:jc w:val="both"/>
        <w:rPr>
          <w:rFonts w:cs="CenturyGothic"/>
          <w:szCs w:val="24"/>
        </w:rPr>
      </w:pPr>
    </w:p>
    <w:p w14:paraId="2DB41387" w14:textId="75ED1D44" w:rsidR="00935D91" w:rsidRPr="00F17768" w:rsidRDefault="00E40484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rFonts w:cs="CenturyGothic"/>
          <w:szCs w:val="24"/>
        </w:rPr>
      </w:pPr>
      <w:bookmarkStart w:id="2" w:name="_Hlk24639992"/>
      <w:r w:rsidRPr="00F17768">
        <w:rPr>
          <w:rFonts w:cs="CenturyGothic"/>
          <w:szCs w:val="24"/>
        </w:rPr>
        <w:t xml:space="preserve">Le offerte potranno essere presentate solamente dai </w:t>
      </w:r>
      <w:r w:rsidR="00935D91" w:rsidRPr="00F17768">
        <w:rPr>
          <w:rFonts w:cs="CenturyGothic"/>
          <w:szCs w:val="24"/>
        </w:rPr>
        <w:t>soggetti rientranti nelle categorie di cui al precedente Paragrafo 1.1</w:t>
      </w:r>
      <w:r w:rsidR="006E6247" w:rsidRPr="00F17768">
        <w:rPr>
          <w:rFonts w:cs="CenturyGothic"/>
          <w:szCs w:val="24"/>
        </w:rPr>
        <w:t xml:space="preserve"> (i “</w:t>
      </w:r>
      <w:r w:rsidR="006E6247" w:rsidRPr="00F17768">
        <w:rPr>
          <w:rFonts w:cs="CenturyGothic"/>
          <w:b/>
          <w:szCs w:val="24"/>
        </w:rPr>
        <w:t>Potenziali Offerenti</w:t>
      </w:r>
      <w:r w:rsidR="006E6247" w:rsidRPr="00F17768">
        <w:rPr>
          <w:rFonts w:cs="CenturyGothic"/>
          <w:szCs w:val="24"/>
        </w:rPr>
        <w:t xml:space="preserve">”). </w:t>
      </w:r>
    </w:p>
    <w:bookmarkEnd w:id="2"/>
    <w:p w14:paraId="3A677191" w14:textId="2D7CA6E9" w:rsidR="00935D91" w:rsidRPr="00F17768" w:rsidRDefault="00935D91" w:rsidP="00F17768">
      <w:pPr>
        <w:autoSpaceDE w:val="0"/>
        <w:autoSpaceDN w:val="0"/>
        <w:adjustRightInd w:val="0"/>
        <w:jc w:val="both"/>
        <w:rPr>
          <w:rFonts w:cs="CenturyGothic"/>
          <w:szCs w:val="24"/>
        </w:rPr>
      </w:pPr>
    </w:p>
    <w:p w14:paraId="5E5FBE66" w14:textId="1F0E9E8E" w:rsidR="00AB559E" w:rsidRPr="00845C51" w:rsidRDefault="00AB559E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rFonts w:cs="CenturyGothic"/>
          <w:szCs w:val="24"/>
        </w:rPr>
      </w:pPr>
      <w:r w:rsidRPr="00F17768">
        <w:rPr>
          <w:rFonts w:cs="CenturyGothic"/>
          <w:szCs w:val="24"/>
        </w:rPr>
        <w:t xml:space="preserve">Le offerte, per poter essere considerate valide e ammissibili, dovranno essere ferme, incondizionate ed irrevocabili e dovranno essere presentate per un importo pari o superiore ad Euro </w:t>
      </w:r>
      <w:r w:rsidR="00BE67DE" w:rsidRPr="00F17768">
        <w:t>9.586.862,30 (</w:t>
      </w:r>
      <w:proofErr w:type="spellStart"/>
      <w:r w:rsidR="00BE67DE" w:rsidRPr="00F17768">
        <w:t>novemilioni</w:t>
      </w:r>
      <w:proofErr w:type="spellEnd"/>
      <w:r w:rsidR="00D96DA5" w:rsidRPr="00F17768">
        <w:t xml:space="preserve"> </w:t>
      </w:r>
      <w:proofErr w:type="spellStart"/>
      <w:r w:rsidR="00BE67DE" w:rsidRPr="00F17768">
        <w:t>cinquecentoottantaseimila</w:t>
      </w:r>
      <w:proofErr w:type="spellEnd"/>
      <w:r w:rsidR="00D96DA5" w:rsidRPr="00F17768">
        <w:t xml:space="preserve"> </w:t>
      </w:r>
      <w:proofErr w:type="spellStart"/>
      <w:r w:rsidR="00BE67DE" w:rsidRPr="00F17768">
        <w:t>ottocentosessantadue</w:t>
      </w:r>
      <w:proofErr w:type="spellEnd"/>
      <w:r w:rsidR="00BE67DE" w:rsidRPr="00F17768">
        <w:t>/30)</w:t>
      </w:r>
      <w:r w:rsidR="00BE67DE" w:rsidRPr="00F17768">
        <w:rPr>
          <w:rFonts w:cs="CenturyGothic"/>
          <w:szCs w:val="24"/>
        </w:rPr>
        <w:t xml:space="preserve"> </w:t>
      </w:r>
      <w:r w:rsidRPr="00F17768">
        <w:rPr>
          <w:rFonts w:cs="CenturyGothic"/>
          <w:szCs w:val="24"/>
        </w:rPr>
        <w:t>(il “</w:t>
      </w:r>
      <w:r w:rsidRPr="00F17768">
        <w:rPr>
          <w:rFonts w:cs="CenturyGothic"/>
          <w:b/>
          <w:szCs w:val="24"/>
        </w:rPr>
        <w:t>Valore Base</w:t>
      </w:r>
      <w:r w:rsidRPr="00F17768">
        <w:rPr>
          <w:rFonts w:cs="CenturyGothic"/>
          <w:szCs w:val="24"/>
        </w:rPr>
        <w:t>”).</w:t>
      </w:r>
      <w:r w:rsidR="00FF6246" w:rsidRPr="00F17768">
        <w:rPr>
          <w:rFonts w:cs="CenturyGothic"/>
          <w:szCs w:val="24"/>
        </w:rPr>
        <w:t xml:space="preserve"> </w:t>
      </w:r>
    </w:p>
    <w:p w14:paraId="1A1840A6" w14:textId="77777777" w:rsidR="00AB559E" w:rsidRPr="00F17768" w:rsidRDefault="00AB559E" w:rsidP="00F17768">
      <w:pPr>
        <w:autoSpaceDE w:val="0"/>
        <w:autoSpaceDN w:val="0"/>
        <w:adjustRightInd w:val="0"/>
        <w:ind w:left="567"/>
        <w:jc w:val="both"/>
        <w:rPr>
          <w:rFonts w:cs="CenturyGothic"/>
          <w:szCs w:val="24"/>
        </w:rPr>
      </w:pPr>
    </w:p>
    <w:p w14:paraId="2F74E1DE" w14:textId="77777777" w:rsidR="00AB559E" w:rsidRPr="00F17768" w:rsidRDefault="00AB559E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rFonts w:cs="CenturyGothic"/>
          <w:szCs w:val="24"/>
        </w:rPr>
      </w:pPr>
      <w:r w:rsidRPr="00F17768">
        <w:rPr>
          <w:rFonts w:cs="CenturyGothic"/>
          <w:szCs w:val="24"/>
        </w:rPr>
        <w:t xml:space="preserve">Le offerte </w:t>
      </w:r>
      <w:r w:rsidRPr="00F17768">
        <w:rPr>
          <w:szCs w:val="24"/>
        </w:rPr>
        <w:t xml:space="preserve">prive della dicitura “offerta irrevocabile”, nonché le offerte </w:t>
      </w:r>
      <w:r w:rsidRPr="00F17768">
        <w:rPr>
          <w:rFonts w:cs="CenturyGothic"/>
          <w:szCs w:val="24"/>
        </w:rPr>
        <w:t>condizionate e/o di importo inferiore al Valore Base e/o non conformi a quanto previsto nel presente avviso saranno considerate nulle e come non pervenute.</w:t>
      </w:r>
    </w:p>
    <w:p w14:paraId="3209D904" w14:textId="77777777" w:rsidR="00AB559E" w:rsidRPr="00F17768" w:rsidRDefault="00AB559E" w:rsidP="00F17768">
      <w:pPr>
        <w:autoSpaceDE w:val="0"/>
        <w:autoSpaceDN w:val="0"/>
        <w:adjustRightInd w:val="0"/>
        <w:jc w:val="both"/>
        <w:rPr>
          <w:rFonts w:cs="CenturyGothic"/>
          <w:szCs w:val="24"/>
        </w:rPr>
      </w:pPr>
    </w:p>
    <w:p w14:paraId="3ED7405A" w14:textId="4FCC34F0" w:rsidR="00AB559E" w:rsidRPr="00F17768" w:rsidRDefault="00AB559E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contextualSpacing w:val="0"/>
        <w:jc w:val="both"/>
        <w:rPr>
          <w:szCs w:val="24"/>
        </w:rPr>
      </w:pPr>
      <w:r w:rsidRPr="00F17768">
        <w:rPr>
          <w:szCs w:val="24"/>
        </w:rPr>
        <w:t xml:space="preserve">Ai fini della presentazione delle offerte, i </w:t>
      </w:r>
      <w:r w:rsidR="00935D91" w:rsidRPr="00F17768">
        <w:rPr>
          <w:szCs w:val="24"/>
        </w:rPr>
        <w:t xml:space="preserve">Potenziali Offerenti potranno </w:t>
      </w:r>
      <w:r w:rsidRPr="00F17768">
        <w:rPr>
          <w:szCs w:val="24"/>
        </w:rPr>
        <w:t>consultare la documentazione relativa al</w:t>
      </w:r>
      <w:r w:rsidR="00961320" w:rsidRPr="00F17768">
        <w:rPr>
          <w:szCs w:val="24"/>
        </w:rPr>
        <w:t xml:space="preserve">le Quote </w:t>
      </w:r>
      <w:r w:rsidRPr="00F17768">
        <w:rPr>
          <w:szCs w:val="24"/>
        </w:rPr>
        <w:t xml:space="preserve">messa a disposizione dalla Società presso la </w:t>
      </w:r>
      <w:proofErr w:type="spellStart"/>
      <w:r w:rsidRPr="00F17768">
        <w:rPr>
          <w:i/>
          <w:szCs w:val="24"/>
        </w:rPr>
        <w:t>virtual</w:t>
      </w:r>
      <w:proofErr w:type="spellEnd"/>
      <w:r w:rsidRPr="00F17768">
        <w:rPr>
          <w:i/>
          <w:szCs w:val="24"/>
        </w:rPr>
        <w:t xml:space="preserve"> data room </w:t>
      </w:r>
      <w:r w:rsidRPr="00F17768">
        <w:rPr>
          <w:szCs w:val="24"/>
        </w:rPr>
        <w:t>dedicata facendone apposita richiesta all’indirizzo di posta elettronica</w:t>
      </w:r>
      <w:r w:rsidR="00961320" w:rsidRPr="00F17768">
        <w:rPr>
          <w:szCs w:val="24"/>
        </w:rPr>
        <w:t xml:space="preserve"> </w:t>
      </w:r>
      <w:hyperlink r:id="rId8" w:history="1">
        <w:r w:rsidR="00746A02" w:rsidRPr="00F17768">
          <w:rPr>
            <w:rStyle w:val="Hyperlink"/>
            <w:szCs w:val="24"/>
          </w:rPr>
          <w:t>direzione_impresapessina@pec.it</w:t>
        </w:r>
      </w:hyperlink>
      <w:r w:rsidR="00746A02" w:rsidRPr="00845C51">
        <w:rPr>
          <w:szCs w:val="24"/>
        </w:rPr>
        <w:t xml:space="preserve"> </w:t>
      </w:r>
      <w:r w:rsidR="00746A02" w:rsidRPr="00D25278">
        <w:rPr>
          <w:szCs w:val="24"/>
        </w:rPr>
        <w:t xml:space="preserve">e </w:t>
      </w:r>
      <w:proofErr w:type="spellStart"/>
      <w:r w:rsidR="00746A02" w:rsidRPr="00D25278">
        <w:rPr>
          <w:szCs w:val="24"/>
        </w:rPr>
        <w:t>pec</w:t>
      </w:r>
      <w:proofErr w:type="spellEnd"/>
      <w:r w:rsidR="00746A02" w:rsidRPr="00D25278">
        <w:rPr>
          <w:szCs w:val="24"/>
        </w:rPr>
        <w:t xml:space="preserve"> </w:t>
      </w:r>
      <w:hyperlink r:id="rId9" w:history="1">
        <w:r w:rsidR="00D25278" w:rsidRPr="009B05CF">
          <w:rPr>
            <w:rStyle w:val="Hyperlink"/>
            <w:szCs w:val="24"/>
          </w:rPr>
          <w:t>pierdaniloadriano.beltrami@milano.pecavvocati.it</w:t>
        </w:r>
      </w:hyperlink>
      <w:r w:rsidR="00D25278">
        <w:rPr>
          <w:szCs w:val="24"/>
        </w:rPr>
        <w:t xml:space="preserve"> </w:t>
      </w:r>
      <w:r w:rsidR="00746A02" w:rsidRPr="00D25278">
        <w:rPr>
          <w:szCs w:val="24"/>
        </w:rPr>
        <w:t>dello studio</w:t>
      </w:r>
      <w:r w:rsidR="00746A02" w:rsidRPr="00F17768">
        <w:rPr>
          <w:szCs w:val="24"/>
        </w:rPr>
        <w:t xml:space="preserve"> Bonelli Erede, mettendo in copia i commissari giudiziali agli indirizzi </w:t>
      </w:r>
      <w:hyperlink r:id="rId10" w:history="1">
        <w:r w:rsidR="00746A02" w:rsidRPr="00F17768">
          <w:rPr>
            <w:rStyle w:val="Hyperlink"/>
            <w:szCs w:val="24"/>
          </w:rPr>
          <w:t>alfredo.haupt@odcecmilano.it</w:t>
        </w:r>
      </w:hyperlink>
      <w:r w:rsidR="00746A02" w:rsidRPr="00845C51">
        <w:rPr>
          <w:szCs w:val="24"/>
        </w:rPr>
        <w:t xml:space="preserve"> e </w:t>
      </w:r>
      <w:hyperlink r:id="rId11" w:history="1">
        <w:r w:rsidR="00746A02" w:rsidRPr="00F17768">
          <w:rPr>
            <w:rStyle w:val="Hyperlink"/>
            <w:szCs w:val="24"/>
          </w:rPr>
          <w:t>paola.pagini@milano.pecavvocati.it</w:t>
        </w:r>
      </w:hyperlink>
      <w:r w:rsidR="00746A02" w:rsidRPr="00845C51">
        <w:rPr>
          <w:szCs w:val="24"/>
        </w:rPr>
        <w:t>.</w:t>
      </w:r>
      <w:r w:rsidRPr="00F17768">
        <w:rPr>
          <w:szCs w:val="24"/>
        </w:rPr>
        <w:t xml:space="preserve"> L’accesso alla </w:t>
      </w:r>
      <w:proofErr w:type="spellStart"/>
      <w:r w:rsidRPr="00F17768">
        <w:rPr>
          <w:i/>
          <w:szCs w:val="24"/>
        </w:rPr>
        <w:t>virtual</w:t>
      </w:r>
      <w:proofErr w:type="spellEnd"/>
      <w:r w:rsidRPr="00F17768">
        <w:rPr>
          <w:i/>
          <w:szCs w:val="24"/>
        </w:rPr>
        <w:t xml:space="preserve"> data room </w:t>
      </w:r>
      <w:r w:rsidRPr="00F17768">
        <w:rPr>
          <w:szCs w:val="24"/>
        </w:rPr>
        <w:t xml:space="preserve">sarà consentito al soggetto interessato previa sottoscrizione </w:t>
      </w:r>
      <w:r w:rsidRPr="00F17768">
        <w:rPr>
          <w:rFonts w:cs="CenturyGothic"/>
          <w:szCs w:val="24"/>
        </w:rPr>
        <w:t xml:space="preserve">dei necessari impegni di riservatezza </w:t>
      </w:r>
      <w:r w:rsidRPr="00F17768">
        <w:rPr>
          <w:szCs w:val="24"/>
        </w:rPr>
        <w:t xml:space="preserve">in merito alle informazioni e alla documentazione contenuta nella </w:t>
      </w:r>
      <w:proofErr w:type="spellStart"/>
      <w:r w:rsidRPr="00F17768">
        <w:rPr>
          <w:i/>
          <w:szCs w:val="24"/>
        </w:rPr>
        <w:t>virtual</w:t>
      </w:r>
      <w:proofErr w:type="spellEnd"/>
      <w:r w:rsidRPr="00F17768">
        <w:rPr>
          <w:i/>
          <w:szCs w:val="24"/>
        </w:rPr>
        <w:t xml:space="preserve"> data room </w:t>
      </w:r>
      <w:r w:rsidRPr="00F17768">
        <w:rPr>
          <w:szCs w:val="24"/>
        </w:rPr>
        <w:t>stessa.</w:t>
      </w:r>
    </w:p>
    <w:p w14:paraId="62CC84A0" w14:textId="77777777" w:rsidR="00AB559E" w:rsidRPr="00F17768" w:rsidRDefault="00AB559E" w:rsidP="00F17768">
      <w:pPr>
        <w:autoSpaceDE w:val="0"/>
        <w:autoSpaceDN w:val="0"/>
        <w:adjustRightInd w:val="0"/>
        <w:jc w:val="both"/>
        <w:rPr>
          <w:szCs w:val="24"/>
        </w:rPr>
      </w:pPr>
    </w:p>
    <w:p w14:paraId="5B08D659" w14:textId="4964F7EE" w:rsidR="00AB559E" w:rsidRPr="00F17768" w:rsidRDefault="00AB559E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contextualSpacing w:val="0"/>
        <w:jc w:val="both"/>
        <w:rPr>
          <w:rFonts w:cs="CenturyGothic"/>
          <w:szCs w:val="24"/>
        </w:rPr>
      </w:pPr>
      <w:bookmarkStart w:id="3" w:name="_Hlk24637078"/>
      <w:r w:rsidRPr="00F17768">
        <w:rPr>
          <w:rFonts w:cs="CenturyGothic"/>
          <w:szCs w:val="24"/>
        </w:rPr>
        <w:t xml:space="preserve">Le offerte, redatte in carta libera e sottoscritte in originale, dovranno pervenire </w:t>
      </w:r>
      <w:r w:rsidRPr="00F17768">
        <w:rPr>
          <w:rFonts w:cs="CenturyGothic"/>
          <w:b/>
          <w:szCs w:val="24"/>
          <w:u w:val="single"/>
        </w:rPr>
        <w:t xml:space="preserve">entro e non oltre </w:t>
      </w:r>
      <w:r w:rsidR="00DD0121" w:rsidRPr="00F17768">
        <w:rPr>
          <w:rFonts w:cs="CenturyGothic"/>
          <w:b/>
          <w:szCs w:val="24"/>
          <w:u w:val="single"/>
        </w:rPr>
        <w:t xml:space="preserve">le ore 13:00 </w:t>
      </w:r>
      <w:bookmarkEnd w:id="3"/>
      <w:r w:rsidR="00AC52ED" w:rsidRPr="00F17768">
        <w:rPr>
          <w:rFonts w:cs="CenturyGothic"/>
          <w:b/>
          <w:szCs w:val="24"/>
          <w:u w:val="single"/>
        </w:rPr>
        <w:t xml:space="preserve">di </w:t>
      </w:r>
      <w:r w:rsidR="00406503">
        <w:rPr>
          <w:rFonts w:cs="CenturyGothic"/>
          <w:b/>
          <w:szCs w:val="24"/>
          <w:u w:val="single"/>
        </w:rPr>
        <w:t xml:space="preserve">lunedì 17 </w:t>
      </w:r>
      <w:r w:rsidR="00D60CBA" w:rsidRPr="00F17768">
        <w:rPr>
          <w:rFonts w:cs="CenturyGothic"/>
          <w:b/>
          <w:szCs w:val="24"/>
          <w:u w:val="single"/>
        </w:rPr>
        <w:t xml:space="preserve">febbraio </w:t>
      </w:r>
      <w:r w:rsidR="00AC52ED" w:rsidRPr="00F17768">
        <w:rPr>
          <w:rFonts w:cs="CenturyGothic"/>
          <w:b/>
          <w:szCs w:val="24"/>
          <w:u w:val="single"/>
        </w:rPr>
        <w:t>2020</w:t>
      </w:r>
      <w:r w:rsidRPr="00F17768">
        <w:rPr>
          <w:rFonts w:cs="CenturyGothic"/>
          <w:szCs w:val="24"/>
        </w:rPr>
        <w:t>, in plico sigillato recante al suo esterno la dicitura “</w:t>
      </w:r>
      <w:r w:rsidR="00961320" w:rsidRPr="00F17768">
        <w:rPr>
          <w:b/>
          <w:i/>
          <w:szCs w:val="24"/>
        </w:rPr>
        <w:t xml:space="preserve">Offerte di acquisto Quote Fondo J. </w:t>
      </w:r>
      <w:proofErr w:type="spellStart"/>
      <w:r w:rsidR="00961320" w:rsidRPr="00F17768">
        <w:rPr>
          <w:b/>
          <w:i/>
          <w:szCs w:val="24"/>
        </w:rPr>
        <w:t>Village</w:t>
      </w:r>
      <w:proofErr w:type="spellEnd"/>
      <w:r w:rsidRPr="00F17768">
        <w:rPr>
          <w:rFonts w:cs="CenturyGothic"/>
          <w:szCs w:val="24"/>
        </w:rPr>
        <w:t>” e l’identificazione del mittente</w:t>
      </w:r>
      <w:r w:rsidR="00D56F1C" w:rsidRPr="00F17768">
        <w:rPr>
          <w:rFonts w:cs="CenturyGothic"/>
          <w:szCs w:val="24"/>
        </w:rPr>
        <w:t>,</w:t>
      </w:r>
      <w:r w:rsidRPr="00F17768">
        <w:rPr>
          <w:rFonts w:cs="CenturyGothic"/>
          <w:szCs w:val="24"/>
        </w:rPr>
        <w:t xml:space="preserve"> presso</w:t>
      </w:r>
      <w:r w:rsidR="004515BB" w:rsidRPr="00F17768">
        <w:rPr>
          <w:rFonts w:cs="CenturyGothic"/>
          <w:szCs w:val="24"/>
        </w:rPr>
        <w:t xml:space="preserve"> </w:t>
      </w:r>
      <w:r w:rsidR="00AC52ED" w:rsidRPr="00F17768">
        <w:rPr>
          <w:szCs w:val="24"/>
        </w:rPr>
        <w:t xml:space="preserve">lo studio del Commissario Giudiziale </w:t>
      </w:r>
      <w:r w:rsidR="00047C56" w:rsidRPr="00F17768">
        <w:rPr>
          <w:szCs w:val="24"/>
        </w:rPr>
        <w:t xml:space="preserve">Avv. Paola Pagini, </w:t>
      </w:r>
      <w:r w:rsidR="00AC52ED" w:rsidRPr="00F17768">
        <w:rPr>
          <w:szCs w:val="24"/>
        </w:rPr>
        <w:t>sito in</w:t>
      </w:r>
      <w:r w:rsidR="00047C56" w:rsidRPr="00F17768">
        <w:rPr>
          <w:szCs w:val="24"/>
        </w:rPr>
        <w:t xml:space="preserve"> Milano, Via Conservatorio n</w:t>
      </w:r>
      <w:r w:rsidRPr="00F17768">
        <w:rPr>
          <w:rFonts w:cs="CenturyGothic"/>
          <w:szCs w:val="24"/>
        </w:rPr>
        <w:t>.</w:t>
      </w:r>
      <w:r w:rsidR="00047C56" w:rsidRPr="00F17768">
        <w:rPr>
          <w:rFonts w:cs="CenturyGothic"/>
          <w:szCs w:val="24"/>
        </w:rPr>
        <w:t xml:space="preserve"> 15.</w:t>
      </w:r>
      <w:r w:rsidRPr="00F17768">
        <w:rPr>
          <w:rFonts w:cs="CenturyGothic"/>
          <w:szCs w:val="24"/>
        </w:rPr>
        <w:t xml:space="preserve"> </w:t>
      </w:r>
      <w:r w:rsidRPr="00F17768">
        <w:rPr>
          <w:szCs w:val="24"/>
        </w:rPr>
        <w:t xml:space="preserve">Ai fini della verifica del rispetto del predetto termine, inderogabile ed improrogabile, farà fede esclusivamente la data e l’ora di ricevimento della busta apposte dal Commissario Giudiziale. </w:t>
      </w:r>
    </w:p>
    <w:p w14:paraId="5763426E" w14:textId="77777777" w:rsidR="00AB559E" w:rsidRPr="00F17768" w:rsidRDefault="00AB559E" w:rsidP="00F17768">
      <w:pPr>
        <w:autoSpaceDE w:val="0"/>
        <w:autoSpaceDN w:val="0"/>
        <w:adjustRightInd w:val="0"/>
        <w:jc w:val="both"/>
        <w:rPr>
          <w:szCs w:val="24"/>
        </w:rPr>
      </w:pPr>
    </w:p>
    <w:p w14:paraId="1567D837" w14:textId="578EC3A7" w:rsidR="00BF2710" w:rsidRPr="00F17768" w:rsidRDefault="00AB559E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contextualSpacing w:val="0"/>
        <w:jc w:val="both"/>
        <w:rPr>
          <w:szCs w:val="24"/>
        </w:rPr>
      </w:pPr>
      <w:bookmarkStart w:id="4" w:name="_Hlk24638294"/>
      <w:r w:rsidRPr="00F17768">
        <w:rPr>
          <w:szCs w:val="24"/>
        </w:rPr>
        <w:t xml:space="preserve">Il </w:t>
      </w:r>
      <w:r w:rsidRPr="00F17768">
        <w:rPr>
          <w:rFonts w:cs="CenturyGothic"/>
          <w:szCs w:val="24"/>
        </w:rPr>
        <w:t>trasferimento</w:t>
      </w:r>
      <w:r w:rsidRPr="00F17768">
        <w:rPr>
          <w:szCs w:val="24"/>
        </w:rPr>
        <w:t xml:space="preserve"> della titolarità del</w:t>
      </w:r>
      <w:r w:rsidR="00961320" w:rsidRPr="00F17768">
        <w:rPr>
          <w:szCs w:val="24"/>
        </w:rPr>
        <w:t xml:space="preserve">le Quote </w:t>
      </w:r>
      <w:r w:rsidRPr="00F17768">
        <w:rPr>
          <w:szCs w:val="24"/>
        </w:rPr>
        <w:t xml:space="preserve">in favore dell’aggiudicatario </w:t>
      </w:r>
      <w:r w:rsidR="00935D91" w:rsidRPr="00F17768">
        <w:rPr>
          <w:szCs w:val="24"/>
        </w:rPr>
        <w:t xml:space="preserve">definitivo </w:t>
      </w:r>
      <w:r w:rsidRPr="00F17768">
        <w:rPr>
          <w:szCs w:val="24"/>
        </w:rPr>
        <w:t xml:space="preserve">avverrà all’esito del procedimento competitivo </w:t>
      </w:r>
      <w:r w:rsidR="00935D91" w:rsidRPr="00F17768">
        <w:rPr>
          <w:szCs w:val="24"/>
        </w:rPr>
        <w:t>di cui al successivo Articolo 4</w:t>
      </w:r>
      <w:r w:rsidRPr="00F17768">
        <w:rPr>
          <w:szCs w:val="24"/>
        </w:rPr>
        <w:t xml:space="preserve">, , in forza di autorizzazione del Tribunale </w:t>
      </w:r>
      <w:r w:rsidRPr="00F17768">
        <w:rPr>
          <w:i/>
          <w:szCs w:val="24"/>
        </w:rPr>
        <w:t xml:space="preserve">ex </w:t>
      </w:r>
      <w:r w:rsidRPr="00F17768">
        <w:rPr>
          <w:szCs w:val="24"/>
        </w:rPr>
        <w:t>art. 161, comma 7, L.F.</w:t>
      </w:r>
      <w:r w:rsidR="00BF2710" w:rsidRPr="00F17768">
        <w:rPr>
          <w:szCs w:val="24"/>
        </w:rPr>
        <w:t xml:space="preserve"> (</w:t>
      </w:r>
      <w:r w:rsidR="00BF2710" w:rsidRPr="00F17768">
        <w:rPr>
          <w:color w:val="000000"/>
        </w:rPr>
        <w:t>ovvero</w:t>
      </w:r>
      <w:r w:rsidR="00997B15" w:rsidRPr="00F17768">
        <w:rPr>
          <w:color w:val="000000"/>
        </w:rPr>
        <w:t xml:space="preserve"> previa autorizzazione dei competenti Organi concorsuali della procedura aperta all’esito del procedimento ex art. 161, sesto comma, </w:t>
      </w:r>
      <w:r w:rsidR="00D80F9A">
        <w:rPr>
          <w:color w:val="000000"/>
        </w:rPr>
        <w:t>L.F.).</w:t>
      </w:r>
    </w:p>
    <w:bookmarkEnd w:id="4"/>
    <w:p w14:paraId="73311099" w14:textId="77777777" w:rsidR="00AB559E" w:rsidRPr="00F17768" w:rsidRDefault="00AB559E" w:rsidP="00F17768">
      <w:pPr>
        <w:autoSpaceDE w:val="0"/>
        <w:autoSpaceDN w:val="0"/>
        <w:adjustRightInd w:val="0"/>
        <w:jc w:val="both"/>
        <w:rPr>
          <w:szCs w:val="24"/>
        </w:rPr>
      </w:pPr>
    </w:p>
    <w:p w14:paraId="3C56AD3A" w14:textId="77777777" w:rsidR="00AB559E" w:rsidRPr="00F17768" w:rsidRDefault="00AB559E" w:rsidP="00F17768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567" w:hanging="567"/>
        <w:contextualSpacing w:val="0"/>
        <w:jc w:val="both"/>
        <w:rPr>
          <w:rFonts w:cs="CenturyGothic-Bold"/>
          <w:b/>
          <w:bCs/>
          <w:smallCaps/>
          <w:szCs w:val="24"/>
        </w:rPr>
      </w:pPr>
      <w:r w:rsidRPr="00F17768">
        <w:rPr>
          <w:rFonts w:cs="CenturyGothic-Bold"/>
          <w:b/>
          <w:bCs/>
          <w:smallCaps/>
          <w:szCs w:val="24"/>
        </w:rPr>
        <w:t>Contenuto delle offerte</w:t>
      </w:r>
    </w:p>
    <w:p w14:paraId="6440566C" w14:textId="77777777" w:rsidR="00AB559E" w:rsidRPr="00F17768" w:rsidRDefault="00AB559E" w:rsidP="00F17768">
      <w:pPr>
        <w:autoSpaceDE w:val="0"/>
        <w:autoSpaceDN w:val="0"/>
        <w:adjustRightInd w:val="0"/>
        <w:jc w:val="both"/>
        <w:rPr>
          <w:rFonts w:cs="CenturyGothic-Bold"/>
          <w:b/>
          <w:bCs/>
          <w:smallCaps/>
          <w:szCs w:val="24"/>
        </w:rPr>
      </w:pPr>
    </w:p>
    <w:p w14:paraId="13404A99" w14:textId="455468AE" w:rsidR="00AB559E" w:rsidRPr="00F17768" w:rsidRDefault="00AB559E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rFonts w:cs="CenturyGothic"/>
          <w:szCs w:val="24"/>
        </w:rPr>
      </w:pPr>
      <w:r w:rsidRPr="00F17768">
        <w:rPr>
          <w:rFonts w:cs="CenturyGothic"/>
          <w:szCs w:val="24"/>
        </w:rPr>
        <w:t>Le offerte, che potranno essere presentate da</w:t>
      </w:r>
      <w:r w:rsidR="00961320" w:rsidRPr="00F17768">
        <w:rPr>
          <w:rFonts w:cs="CenturyGothic"/>
          <w:szCs w:val="24"/>
        </w:rPr>
        <w:t>i Potenziali Offerenti</w:t>
      </w:r>
      <w:r w:rsidR="006E6247" w:rsidRPr="00F17768">
        <w:rPr>
          <w:rFonts w:cs="CenturyGothic"/>
          <w:szCs w:val="24"/>
        </w:rPr>
        <w:t xml:space="preserve"> e che non potranno essere presentate “per persona da nominare”,</w:t>
      </w:r>
      <w:r w:rsidRPr="00F17768">
        <w:rPr>
          <w:rFonts w:cs="CenturyGothic"/>
          <w:szCs w:val="24"/>
        </w:rPr>
        <w:t xml:space="preserve"> dovranno contenere a pena di esclusione:</w:t>
      </w:r>
    </w:p>
    <w:p w14:paraId="247A8F7F" w14:textId="77777777" w:rsidR="00AB559E" w:rsidRPr="00F17768" w:rsidRDefault="00AB559E" w:rsidP="00F17768">
      <w:pPr>
        <w:autoSpaceDE w:val="0"/>
        <w:autoSpaceDN w:val="0"/>
        <w:adjustRightInd w:val="0"/>
        <w:ind w:left="720"/>
        <w:jc w:val="both"/>
        <w:rPr>
          <w:rFonts w:cs="CenturyGothic"/>
          <w:szCs w:val="24"/>
        </w:rPr>
      </w:pPr>
    </w:p>
    <w:p w14:paraId="0CDFD2A8" w14:textId="1E71045A" w:rsidR="00AB559E" w:rsidRPr="00F17768" w:rsidRDefault="00AB559E" w:rsidP="00F17768">
      <w:pPr>
        <w:numPr>
          <w:ilvl w:val="0"/>
          <w:numId w:val="28"/>
        </w:numPr>
        <w:autoSpaceDE w:val="0"/>
        <w:autoSpaceDN w:val="0"/>
        <w:adjustRightInd w:val="0"/>
        <w:ind w:left="1276" w:hanging="709"/>
        <w:jc w:val="both"/>
        <w:rPr>
          <w:rFonts w:cs="CenturyGothic"/>
          <w:szCs w:val="24"/>
        </w:rPr>
      </w:pPr>
      <w:r w:rsidRPr="00F17768">
        <w:rPr>
          <w:rFonts w:cs="CenturyGothic"/>
          <w:szCs w:val="24"/>
        </w:rPr>
        <w:lastRenderedPageBreak/>
        <w:t xml:space="preserve">le informazioni essenziali necessarie alla compiuta identificazione del soggetto </w:t>
      </w:r>
      <w:r w:rsidR="00961320" w:rsidRPr="00F17768">
        <w:rPr>
          <w:rFonts w:cs="CenturyGothic"/>
          <w:szCs w:val="24"/>
        </w:rPr>
        <w:t>Potenziale O</w:t>
      </w:r>
      <w:r w:rsidRPr="00F17768">
        <w:rPr>
          <w:rFonts w:cs="CenturyGothic"/>
          <w:szCs w:val="24"/>
        </w:rPr>
        <w:t>fferente (se persona giuridica: la denominazione, la sede legale, il codice fiscale e la partita IVA, o altro identificativo in base alla legge dello Stato di appartenenza; se persona fisica: il nome, il cognome, il codice fiscale e la partita IVA</w:t>
      </w:r>
      <w:r w:rsidR="007C5536" w:rsidRPr="00F17768">
        <w:rPr>
          <w:rFonts w:cs="CenturyGothic"/>
          <w:szCs w:val="24"/>
        </w:rPr>
        <w:t>, ove esistente</w:t>
      </w:r>
      <w:r w:rsidRPr="00F17768">
        <w:rPr>
          <w:rFonts w:cs="CenturyGothic"/>
          <w:szCs w:val="24"/>
        </w:rPr>
        <w:t>, o altro identificativo in base alla legge dello Stato di cittadinanza);</w:t>
      </w:r>
    </w:p>
    <w:p w14:paraId="01A13081" w14:textId="77777777" w:rsidR="00AB559E" w:rsidRPr="00F17768" w:rsidRDefault="00AB559E" w:rsidP="00F17768">
      <w:pPr>
        <w:autoSpaceDE w:val="0"/>
        <w:autoSpaceDN w:val="0"/>
        <w:adjustRightInd w:val="0"/>
        <w:ind w:left="1276" w:hanging="709"/>
        <w:jc w:val="both"/>
        <w:rPr>
          <w:rFonts w:cs="CenturyGothic"/>
          <w:szCs w:val="24"/>
        </w:rPr>
      </w:pPr>
    </w:p>
    <w:p w14:paraId="1FCE848E" w14:textId="78CAFDD9" w:rsidR="00AB559E" w:rsidRPr="00F17768" w:rsidRDefault="00AB559E" w:rsidP="00F17768">
      <w:pPr>
        <w:numPr>
          <w:ilvl w:val="0"/>
          <w:numId w:val="28"/>
        </w:numPr>
        <w:autoSpaceDE w:val="0"/>
        <w:autoSpaceDN w:val="0"/>
        <w:adjustRightInd w:val="0"/>
        <w:ind w:left="1276" w:hanging="709"/>
        <w:jc w:val="both"/>
        <w:rPr>
          <w:rFonts w:cs="CenturyGothic"/>
          <w:szCs w:val="24"/>
        </w:rPr>
      </w:pPr>
      <w:r w:rsidRPr="00F17768">
        <w:rPr>
          <w:rFonts w:cs="CenturyGothic"/>
          <w:szCs w:val="24"/>
        </w:rPr>
        <w:t xml:space="preserve">l’impegno irrevocabile ad acquistare </w:t>
      </w:r>
      <w:r w:rsidR="00961320" w:rsidRPr="00F17768">
        <w:rPr>
          <w:rFonts w:cs="CenturyGothic"/>
          <w:szCs w:val="24"/>
        </w:rPr>
        <w:t>le Quote</w:t>
      </w:r>
      <w:r w:rsidRPr="00F17768">
        <w:rPr>
          <w:rFonts w:cs="CenturyGothic"/>
          <w:szCs w:val="24"/>
        </w:rPr>
        <w:t xml:space="preserve"> ad un prezzo pari o superiore al Valore Base</w:t>
      </w:r>
      <w:r w:rsidR="007C5536" w:rsidRPr="00F17768">
        <w:rPr>
          <w:rFonts w:cs="CenturyGothic"/>
          <w:szCs w:val="24"/>
        </w:rPr>
        <w:t xml:space="preserve"> oltre accessori di legge</w:t>
      </w:r>
      <w:r w:rsidRPr="00F17768">
        <w:rPr>
          <w:rFonts w:cs="CenturyGothic"/>
          <w:szCs w:val="24"/>
        </w:rPr>
        <w:t>;</w:t>
      </w:r>
    </w:p>
    <w:p w14:paraId="50BFFE33" w14:textId="77777777" w:rsidR="00AB559E" w:rsidRPr="00F17768" w:rsidRDefault="00AB559E" w:rsidP="00F17768">
      <w:pPr>
        <w:autoSpaceDE w:val="0"/>
        <w:autoSpaceDN w:val="0"/>
        <w:adjustRightInd w:val="0"/>
        <w:ind w:left="1276" w:hanging="709"/>
        <w:jc w:val="both"/>
        <w:rPr>
          <w:rFonts w:cs="CenturyGothic"/>
          <w:szCs w:val="24"/>
        </w:rPr>
      </w:pPr>
    </w:p>
    <w:p w14:paraId="7087BBDC" w14:textId="77777777" w:rsidR="00AB559E" w:rsidRPr="00F17768" w:rsidRDefault="00AB559E" w:rsidP="00F17768">
      <w:pPr>
        <w:numPr>
          <w:ilvl w:val="0"/>
          <w:numId w:val="28"/>
        </w:numPr>
        <w:autoSpaceDE w:val="0"/>
        <w:autoSpaceDN w:val="0"/>
        <w:adjustRightInd w:val="0"/>
        <w:ind w:left="1276" w:hanging="709"/>
        <w:jc w:val="both"/>
        <w:rPr>
          <w:szCs w:val="24"/>
        </w:rPr>
      </w:pPr>
      <w:r w:rsidRPr="00F17768">
        <w:rPr>
          <w:rFonts w:cs="CenturyGothic"/>
          <w:szCs w:val="24"/>
        </w:rPr>
        <w:t>l’indicazione dei recapiti presso i quali il soggetto offerente intende ricevere ogni comunicazione relativa alla procedura, ivi incluso un indirizzo di posta elettronica certificata.</w:t>
      </w:r>
    </w:p>
    <w:p w14:paraId="223EDA77" w14:textId="77777777" w:rsidR="00AB559E" w:rsidRPr="00F17768" w:rsidRDefault="00AB559E" w:rsidP="00F17768">
      <w:pPr>
        <w:autoSpaceDE w:val="0"/>
        <w:autoSpaceDN w:val="0"/>
        <w:adjustRightInd w:val="0"/>
        <w:jc w:val="both"/>
        <w:rPr>
          <w:rFonts w:cs="CenturyGothic"/>
          <w:szCs w:val="24"/>
        </w:rPr>
      </w:pPr>
    </w:p>
    <w:p w14:paraId="604FBE4D" w14:textId="77777777" w:rsidR="00AB559E" w:rsidRPr="00F17768" w:rsidRDefault="00AB559E" w:rsidP="00F17768">
      <w:pPr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rFonts w:cs="CenturyGothic"/>
          <w:szCs w:val="24"/>
        </w:rPr>
      </w:pPr>
      <w:r w:rsidRPr="00F17768">
        <w:rPr>
          <w:rFonts w:cs="CenturyGothic"/>
          <w:szCs w:val="24"/>
        </w:rPr>
        <w:t>Le offerte dovranno essere accompagnate da:</w:t>
      </w:r>
    </w:p>
    <w:p w14:paraId="6E447D37" w14:textId="77777777" w:rsidR="00AB559E" w:rsidRPr="00F17768" w:rsidRDefault="00AB559E" w:rsidP="00F17768">
      <w:pPr>
        <w:autoSpaceDE w:val="0"/>
        <w:autoSpaceDN w:val="0"/>
        <w:adjustRightInd w:val="0"/>
        <w:ind w:left="720"/>
        <w:jc w:val="both"/>
        <w:rPr>
          <w:rFonts w:cs="CenturyGothic"/>
          <w:szCs w:val="24"/>
        </w:rPr>
      </w:pPr>
    </w:p>
    <w:p w14:paraId="5484A0BD" w14:textId="00842C6D" w:rsidR="00AB559E" w:rsidRPr="00F17768" w:rsidRDefault="00AB559E" w:rsidP="00F17768">
      <w:pPr>
        <w:numPr>
          <w:ilvl w:val="0"/>
          <w:numId w:val="31"/>
        </w:numPr>
        <w:autoSpaceDE w:val="0"/>
        <w:autoSpaceDN w:val="0"/>
        <w:adjustRightInd w:val="0"/>
        <w:ind w:left="1276" w:hanging="709"/>
        <w:jc w:val="both"/>
        <w:rPr>
          <w:rFonts w:cs="CenturyGothic"/>
          <w:szCs w:val="24"/>
        </w:rPr>
      </w:pPr>
      <w:r w:rsidRPr="00F17768">
        <w:rPr>
          <w:rFonts w:cs="CenturyGothic"/>
          <w:szCs w:val="24"/>
        </w:rPr>
        <w:t>un assegno circolare non trasferibile intestato a “</w:t>
      </w:r>
      <w:r w:rsidR="00961320" w:rsidRPr="00F17768">
        <w:rPr>
          <w:rFonts w:cs="CenturyGothic"/>
          <w:szCs w:val="24"/>
        </w:rPr>
        <w:t>Pessina Costruzioni S.p.A.</w:t>
      </w:r>
      <w:r w:rsidRPr="00F17768">
        <w:rPr>
          <w:rFonts w:cs="CenturyGothic"/>
          <w:szCs w:val="24"/>
        </w:rPr>
        <w:t>” di un importo pari al 10% del prezzo offerto per l’acquisto del</w:t>
      </w:r>
      <w:r w:rsidR="00961320" w:rsidRPr="00F17768">
        <w:rPr>
          <w:rFonts w:cs="CenturyGothic"/>
          <w:szCs w:val="24"/>
        </w:rPr>
        <w:t>le Quote</w:t>
      </w:r>
      <w:r w:rsidRPr="00F17768">
        <w:rPr>
          <w:rFonts w:cs="CenturyGothic"/>
          <w:szCs w:val="24"/>
        </w:rPr>
        <w:t xml:space="preserve">, a titolo di deposito cauzionale </w:t>
      </w:r>
      <w:r w:rsidRPr="00F17768">
        <w:rPr>
          <w:szCs w:val="24"/>
        </w:rPr>
        <w:t>infruttifero che verrà restituito da</w:t>
      </w:r>
      <w:r w:rsidR="007C5536" w:rsidRPr="00F17768">
        <w:rPr>
          <w:szCs w:val="24"/>
        </w:rPr>
        <w:t>i</w:t>
      </w:r>
      <w:r w:rsidRPr="00F17768">
        <w:rPr>
          <w:szCs w:val="24"/>
        </w:rPr>
        <w:t xml:space="preserve"> Commissari Giudizial</w:t>
      </w:r>
      <w:r w:rsidR="007C5536" w:rsidRPr="00F17768">
        <w:rPr>
          <w:szCs w:val="24"/>
        </w:rPr>
        <w:t>i</w:t>
      </w:r>
      <w:r w:rsidRPr="00F17768">
        <w:rPr>
          <w:szCs w:val="24"/>
        </w:rPr>
        <w:t xml:space="preserve"> ai partecipanti al procedimento competitivo che non risulteranno aggiudicatari successivamente alla (e, comunque, non oltre 30 giorni dalla) data di aggiudicazione</w:t>
      </w:r>
      <w:r w:rsidR="00E11245" w:rsidRPr="00F17768">
        <w:rPr>
          <w:szCs w:val="24"/>
        </w:rPr>
        <w:t xml:space="preserve"> definitiva</w:t>
      </w:r>
      <w:r w:rsidRPr="00F17768">
        <w:rPr>
          <w:rFonts w:cs="CenturyGothic"/>
          <w:szCs w:val="24"/>
        </w:rPr>
        <w:t>;</w:t>
      </w:r>
    </w:p>
    <w:p w14:paraId="7F1752F1" w14:textId="77777777" w:rsidR="00AB559E" w:rsidRPr="00F17768" w:rsidRDefault="00AB559E" w:rsidP="00F17768">
      <w:pPr>
        <w:autoSpaceDE w:val="0"/>
        <w:autoSpaceDN w:val="0"/>
        <w:adjustRightInd w:val="0"/>
        <w:ind w:hanging="709"/>
        <w:jc w:val="both"/>
        <w:rPr>
          <w:rFonts w:cs="CenturyGothic"/>
          <w:szCs w:val="24"/>
        </w:rPr>
      </w:pPr>
    </w:p>
    <w:p w14:paraId="3CD5D10D" w14:textId="77777777" w:rsidR="00AB559E" w:rsidRPr="00F17768" w:rsidRDefault="00AB559E" w:rsidP="00F17768">
      <w:pPr>
        <w:numPr>
          <w:ilvl w:val="0"/>
          <w:numId w:val="31"/>
        </w:numPr>
        <w:autoSpaceDE w:val="0"/>
        <w:autoSpaceDN w:val="0"/>
        <w:adjustRightInd w:val="0"/>
        <w:ind w:left="1276" w:hanging="709"/>
        <w:jc w:val="both"/>
        <w:rPr>
          <w:rFonts w:cs="CenturyGothic"/>
          <w:szCs w:val="24"/>
        </w:rPr>
      </w:pPr>
      <w:r w:rsidRPr="00F17768">
        <w:rPr>
          <w:rFonts w:cs="CenturyGothic"/>
          <w:szCs w:val="24"/>
        </w:rPr>
        <w:t xml:space="preserve">copia del presente avviso siglato su ogni pagina e sottoscritto in calce da parte dal soggetto </w:t>
      </w:r>
      <w:r w:rsidR="00961320" w:rsidRPr="00F17768">
        <w:rPr>
          <w:rFonts w:cs="CenturyGothic"/>
          <w:szCs w:val="24"/>
        </w:rPr>
        <w:t>Potenziale O</w:t>
      </w:r>
      <w:r w:rsidRPr="00F17768">
        <w:rPr>
          <w:rFonts w:cs="CenturyGothic"/>
          <w:szCs w:val="24"/>
        </w:rPr>
        <w:t>fferente (se impresa in forma societaria, dal suo legale rappresentante o da persona munita dei poteri necessari a validamente impegnare il soggetto offerente), in segno di accettazione integrale ed incondizionata di tutti i termini e condizioni ivi indicati;</w:t>
      </w:r>
    </w:p>
    <w:p w14:paraId="71C1AFF8" w14:textId="77777777" w:rsidR="00AB559E" w:rsidRPr="00F17768" w:rsidRDefault="00AB559E" w:rsidP="00F17768">
      <w:pPr>
        <w:autoSpaceDE w:val="0"/>
        <w:autoSpaceDN w:val="0"/>
        <w:adjustRightInd w:val="0"/>
        <w:ind w:left="1276" w:hanging="709"/>
        <w:jc w:val="both"/>
        <w:rPr>
          <w:rFonts w:cs="CenturyGothic"/>
          <w:szCs w:val="24"/>
        </w:rPr>
      </w:pPr>
    </w:p>
    <w:p w14:paraId="7746E1CF" w14:textId="0C0F1205" w:rsidR="00AB559E" w:rsidRPr="00F17768" w:rsidRDefault="00AB559E" w:rsidP="00F17768">
      <w:pPr>
        <w:numPr>
          <w:ilvl w:val="0"/>
          <w:numId w:val="31"/>
        </w:numPr>
        <w:autoSpaceDE w:val="0"/>
        <w:autoSpaceDN w:val="0"/>
        <w:adjustRightInd w:val="0"/>
        <w:ind w:left="1276" w:hanging="709"/>
        <w:jc w:val="both"/>
        <w:rPr>
          <w:rFonts w:cs="CenturyGothic"/>
          <w:szCs w:val="24"/>
        </w:rPr>
      </w:pPr>
      <w:r w:rsidRPr="00F17768">
        <w:rPr>
          <w:rFonts w:cs="CenturyGothic"/>
          <w:szCs w:val="24"/>
        </w:rPr>
        <w:t>nel caso di impresa in forma societaria, documentazione attestante i poteri di firma della persona che sottoscrive l’offerta, copia di una visura camerale storica (o altro documento equivalente) aggiornata a non più di 7 (sette) giorni antecedenti la data dell’offerta, copia dello statuto sociale vigente e copia degli ultimi tre bilanci civilistici e consolidati (questi ultimi ove esistenti) approvati</w:t>
      </w:r>
      <w:r w:rsidR="007A5955" w:rsidRPr="00F17768">
        <w:rPr>
          <w:rFonts w:cs="CenturyGothic"/>
          <w:szCs w:val="24"/>
        </w:rPr>
        <w:t>.</w:t>
      </w:r>
    </w:p>
    <w:p w14:paraId="720410BF" w14:textId="77777777" w:rsidR="007A5955" w:rsidRPr="00F17768" w:rsidRDefault="007A5955" w:rsidP="00F17768">
      <w:pPr>
        <w:pStyle w:val="ListParagraph"/>
        <w:rPr>
          <w:rFonts w:cs="CenturyGothic"/>
          <w:szCs w:val="24"/>
        </w:rPr>
      </w:pPr>
    </w:p>
    <w:p w14:paraId="7551ABC5" w14:textId="77777777" w:rsidR="00AB559E" w:rsidRPr="00F17768" w:rsidRDefault="00AB559E" w:rsidP="00F17768">
      <w:pPr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rFonts w:cs="CenturyGothic"/>
          <w:szCs w:val="24"/>
        </w:rPr>
      </w:pPr>
      <w:r w:rsidRPr="00F17768">
        <w:rPr>
          <w:rFonts w:cs="CenturyGothic"/>
          <w:szCs w:val="24"/>
        </w:rPr>
        <w:t>Le offerte e tutti i documenti ad esse acclusi dovranno essere redatte in lingua italiana ovvero accompagnati da una traduzione giurata degli stessi.</w:t>
      </w:r>
    </w:p>
    <w:p w14:paraId="5937A238" w14:textId="77777777" w:rsidR="00AB559E" w:rsidRPr="00F17768" w:rsidRDefault="00AB559E" w:rsidP="00F17768">
      <w:pPr>
        <w:autoSpaceDE w:val="0"/>
        <w:autoSpaceDN w:val="0"/>
        <w:adjustRightInd w:val="0"/>
        <w:jc w:val="both"/>
        <w:rPr>
          <w:rFonts w:cs="CenturyGothic"/>
          <w:szCs w:val="24"/>
        </w:rPr>
      </w:pPr>
    </w:p>
    <w:p w14:paraId="46572FB6" w14:textId="77777777" w:rsidR="00AB559E" w:rsidRPr="00F17768" w:rsidRDefault="00AB559E" w:rsidP="00F17768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567" w:hanging="567"/>
        <w:contextualSpacing w:val="0"/>
        <w:jc w:val="both"/>
        <w:rPr>
          <w:rFonts w:cs="CenturyGothic-Bold"/>
          <w:b/>
          <w:bCs/>
          <w:smallCaps/>
          <w:szCs w:val="24"/>
        </w:rPr>
      </w:pPr>
      <w:r w:rsidRPr="00F17768">
        <w:rPr>
          <w:rFonts w:cs="CenturyGothic-Bold"/>
          <w:b/>
          <w:bCs/>
          <w:smallCaps/>
          <w:szCs w:val="24"/>
        </w:rPr>
        <w:t xml:space="preserve">Svolgimento del procedimento competitivo </w:t>
      </w:r>
    </w:p>
    <w:p w14:paraId="19CE2C24" w14:textId="77777777" w:rsidR="00AB559E" w:rsidRPr="00F17768" w:rsidRDefault="00AB559E" w:rsidP="00F17768">
      <w:pPr>
        <w:autoSpaceDE w:val="0"/>
        <w:autoSpaceDN w:val="0"/>
        <w:adjustRightInd w:val="0"/>
        <w:jc w:val="both"/>
        <w:rPr>
          <w:szCs w:val="24"/>
        </w:rPr>
      </w:pPr>
    </w:p>
    <w:p w14:paraId="4F174FBE" w14:textId="37440BDF" w:rsidR="007B0FE3" w:rsidRPr="00F17768" w:rsidRDefault="00FE4F66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rFonts w:cs="CenturyGothic-Bold"/>
          <w:b/>
          <w:bCs/>
          <w:szCs w:val="24"/>
        </w:rPr>
      </w:pPr>
      <w:bookmarkStart w:id="5" w:name="_Hlk24638506"/>
      <w:r w:rsidRPr="00F17768">
        <w:rPr>
          <w:b/>
          <w:u w:val="single"/>
        </w:rPr>
        <w:t xml:space="preserve">Alle </w:t>
      </w:r>
      <w:r w:rsidR="00270A27" w:rsidRPr="00F17768">
        <w:rPr>
          <w:b/>
          <w:u w:val="single"/>
        </w:rPr>
        <w:t>ore</w:t>
      </w:r>
      <w:r w:rsidRPr="00F17768">
        <w:rPr>
          <w:b/>
          <w:u w:val="single"/>
        </w:rPr>
        <w:t xml:space="preserve"> 9:30 </w:t>
      </w:r>
      <w:r w:rsidR="00AC52ED" w:rsidRPr="00F17768">
        <w:rPr>
          <w:b/>
          <w:u w:val="single"/>
        </w:rPr>
        <w:t>d</w:t>
      </w:r>
      <w:r w:rsidR="00E81EB2" w:rsidRPr="00F17768">
        <w:rPr>
          <w:b/>
          <w:u w:val="single"/>
        </w:rPr>
        <w:t xml:space="preserve">i </w:t>
      </w:r>
      <w:r w:rsidR="00406503">
        <w:rPr>
          <w:b/>
          <w:u w:val="single"/>
        </w:rPr>
        <w:t xml:space="preserve">martedì 18 </w:t>
      </w:r>
      <w:r w:rsidR="00D60CBA" w:rsidRPr="00F17768">
        <w:rPr>
          <w:b/>
          <w:u w:val="single"/>
        </w:rPr>
        <w:t xml:space="preserve">febbraio </w:t>
      </w:r>
      <w:r w:rsidR="00AC52ED" w:rsidRPr="00F17768">
        <w:rPr>
          <w:b/>
          <w:u w:val="single"/>
        </w:rPr>
        <w:t>2020</w:t>
      </w:r>
      <w:r w:rsidRPr="00F17768">
        <w:t xml:space="preserve">, </w:t>
      </w:r>
      <w:r w:rsidR="00AB559E" w:rsidRPr="00F17768">
        <w:rPr>
          <w:szCs w:val="24"/>
        </w:rPr>
        <w:t xml:space="preserve">presso </w:t>
      </w:r>
      <w:r w:rsidR="004515BB" w:rsidRPr="00F17768">
        <w:rPr>
          <w:szCs w:val="24"/>
        </w:rPr>
        <w:t xml:space="preserve">lo studio </w:t>
      </w:r>
      <w:r w:rsidR="002D7B21" w:rsidRPr="00F17768">
        <w:rPr>
          <w:szCs w:val="24"/>
        </w:rPr>
        <w:t>del C</w:t>
      </w:r>
      <w:r w:rsidR="004515BB" w:rsidRPr="00F17768">
        <w:rPr>
          <w:szCs w:val="24"/>
        </w:rPr>
        <w:t>ommissari</w:t>
      </w:r>
      <w:r w:rsidR="002D7B21" w:rsidRPr="00F17768">
        <w:rPr>
          <w:szCs w:val="24"/>
        </w:rPr>
        <w:t xml:space="preserve">o Giudiziale </w:t>
      </w:r>
      <w:r w:rsidR="00047C56" w:rsidRPr="00F17768">
        <w:rPr>
          <w:szCs w:val="24"/>
        </w:rPr>
        <w:t>Avv. Paola Pagini, sito in Milano, Via Conservatorio n</w:t>
      </w:r>
      <w:r w:rsidR="00047C56" w:rsidRPr="00F17768">
        <w:rPr>
          <w:rFonts w:cs="CenturyGothic"/>
          <w:szCs w:val="24"/>
        </w:rPr>
        <w:t>. 15</w:t>
      </w:r>
      <w:r w:rsidR="00AB559E" w:rsidRPr="00F17768">
        <w:rPr>
          <w:szCs w:val="24"/>
        </w:rPr>
        <w:t xml:space="preserve">, e davanti </w:t>
      </w:r>
      <w:r w:rsidR="007C5536" w:rsidRPr="00F17768">
        <w:rPr>
          <w:szCs w:val="24"/>
        </w:rPr>
        <w:t>a</w:t>
      </w:r>
      <w:r w:rsidR="004515BB" w:rsidRPr="00F17768">
        <w:rPr>
          <w:szCs w:val="24"/>
        </w:rPr>
        <w:t xml:space="preserve">i </w:t>
      </w:r>
      <w:r w:rsidR="007C5536" w:rsidRPr="00F17768">
        <w:rPr>
          <w:szCs w:val="24"/>
        </w:rPr>
        <w:t>C</w:t>
      </w:r>
      <w:r w:rsidR="004515BB" w:rsidRPr="00F17768">
        <w:rPr>
          <w:szCs w:val="24"/>
        </w:rPr>
        <w:t>ommissari</w:t>
      </w:r>
      <w:bookmarkEnd w:id="5"/>
      <w:r w:rsidR="007C5536" w:rsidRPr="00F17768">
        <w:rPr>
          <w:szCs w:val="24"/>
        </w:rPr>
        <w:t xml:space="preserve"> Giudiziali</w:t>
      </w:r>
      <w:r w:rsidR="00AB559E" w:rsidRPr="00F17768">
        <w:rPr>
          <w:szCs w:val="24"/>
        </w:rPr>
        <w:t xml:space="preserve">, verranno aperte le buste depositate da ciascun partecipante prima dell’inizio dell’eventuale gara, che avrà luogo, sempre presso </w:t>
      </w:r>
      <w:r w:rsidR="00D259B9" w:rsidRPr="00F17768">
        <w:rPr>
          <w:szCs w:val="24"/>
        </w:rPr>
        <w:t xml:space="preserve">il predetto </w:t>
      </w:r>
      <w:r w:rsidR="00AB559E" w:rsidRPr="00F17768">
        <w:rPr>
          <w:szCs w:val="24"/>
        </w:rPr>
        <w:t xml:space="preserve">Studio del Commissario Giudiziale, immediatamente dopo che saranno terminate le attività di apertura delle buste. </w:t>
      </w:r>
    </w:p>
    <w:p w14:paraId="5A9DE539" w14:textId="77777777" w:rsidR="007B0FE3" w:rsidRPr="00F17768" w:rsidRDefault="007B0FE3" w:rsidP="00F17768">
      <w:pPr>
        <w:pStyle w:val="ListParagraph"/>
        <w:autoSpaceDE w:val="0"/>
        <w:autoSpaceDN w:val="0"/>
        <w:adjustRightInd w:val="0"/>
        <w:ind w:left="567"/>
        <w:jc w:val="both"/>
        <w:rPr>
          <w:rFonts w:cs="CenturyGothic-Bold"/>
          <w:b/>
          <w:bCs/>
          <w:szCs w:val="24"/>
        </w:rPr>
      </w:pPr>
    </w:p>
    <w:p w14:paraId="065B50CF" w14:textId="44E78600" w:rsidR="007B0FE3" w:rsidRPr="00F17768" w:rsidRDefault="00AB559E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rFonts w:cs="CenturyGothic-Bold"/>
          <w:b/>
          <w:bCs/>
          <w:szCs w:val="24"/>
        </w:rPr>
      </w:pPr>
      <w:r w:rsidRPr="00F17768">
        <w:rPr>
          <w:szCs w:val="24"/>
        </w:rPr>
        <w:t>I Commissari Giudizial</w:t>
      </w:r>
      <w:r w:rsidR="000C3D58" w:rsidRPr="00F17768">
        <w:rPr>
          <w:szCs w:val="24"/>
        </w:rPr>
        <w:t>i</w:t>
      </w:r>
      <w:r w:rsidRPr="00F17768">
        <w:rPr>
          <w:szCs w:val="24"/>
        </w:rPr>
        <w:t xml:space="preserve"> condurr</w:t>
      </w:r>
      <w:r w:rsidR="000C3D58" w:rsidRPr="00F17768">
        <w:rPr>
          <w:szCs w:val="24"/>
        </w:rPr>
        <w:t>anno</w:t>
      </w:r>
      <w:r w:rsidRPr="00F17768">
        <w:rPr>
          <w:szCs w:val="24"/>
        </w:rPr>
        <w:t xml:space="preserve"> una valutazione comparativa in ordine alle offerte ricevute e che risulteranno conformi a quanto previsto dal presente avviso. Si precisa che le offerte ricevute verranno valutate sulla base dell’unico parametro di comparabilità costituito dal maggior prezzo. </w:t>
      </w:r>
    </w:p>
    <w:p w14:paraId="7837C094" w14:textId="77777777" w:rsidR="007B0FE3" w:rsidRPr="00F17768" w:rsidRDefault="007B0FE3" w:rsidP="00F17768">
      <w:pPr>
        <w:pStyle w:val="ListParagraph"/>
        <w:rPr>
          <w:szCs w:val="24"/>
        </w:rPr>
      </w:pPr>
    </w:p>
    <w:p w14:paraId="3F377A90" w14:textId="393CF554" w:rsidR="007B0FE3" w:rsidRPr="00F17768" w:rsidRDefault="00AB559E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rFonts w:cs="CenturyGothic-Bold"/>
          <w:b/>
          <w:bCs/>
          <w:szCs w:val="24"/>
        </w:rPr>
      </w:pPr>
      <w:r w:rsidRPr="00F17768">
        <w:rPr>
          <w:szCs w:val="24"/>
        </w:rPr>
        <w:t xml:space="preserve">Qualora venga presentata un’unica offerta ritenuta valida, per un importo pari o superiore al Valore Base incrementato di Euro </w:t>
      </w:r>
      <w:r w:rsidR="00BE67DE" w:rsidRPr="00F17768">
        <w:rPr>
          <w:szCs w:val="24"/>
        </w:rPr>
        <w:t>1.000.000,00</w:t>
      </w:r>
      <w:r w:rsidRPr="00F17768">
        <w:rPr>
          <w:szCs w:val="24"/>
        </w:rPr>
        <w:t xml:space="preserve"> </w:t>
      </w:r>
      <w:r w:rsidR="007151FB" w:rsidRPr="00F17768">
        <w:rPr>
          <w:szCs w:val="24"/>
        </w:rPr>
        <w:t>(</w:t>
      </w:r>
      <w:proofErr w:type="spellStart"/>
      <w:r w:rsidR="00BE67DE" w:rsidRPr="00F17768">
        <w:rPr>
          <w:szCs w:val="24"/>
        </w:rPr>
        <w:t>unmilione</w:t>
      </w:r>
      <w:proofErr w:type="spellEnd"/>
      <w:r w:rsidR="007151FB" w:rsidRPr="00F17768">
        <w:rPr>
          <w:szCs w:val="24"/>
        </w:rPr>
        <w:t xml:space="preserve">/00) </w:t>
      </w:r>
      <w:r w:rsidRPr="00F17768">
        <w:rPr>
          <w:szCs w:val="24"/>
        </w:rPr>
        <w:t>(il “</w:t>
      </w:r>
      <w:r w:rsidRPr="00F17768">
        <w:rPr>
          <w:b/>
          <w:szCs w:val="24"/>
        </w:rPr>
        <w:t>Valore Rialzato</w:t>
      </w:r>
      <w:r w:rsidRPr="00F17768">
        <w:rPr>
          <w:szCs w:val="24"/>
        </w:rPr>
        <w:t xml:space="preserve">”), ossia pari o superiore ad Euro </w:t>
      </w:r>
      <w:r w:rsidR="00D96DA5" w:rsidRPr="00F17768">
        <w:rPr>
          <w:szCs w:val="24"/>
        </w:rPr>
        <w:t>10</w:t>
      </w:r>
      <w:r w:rsidR="00D96DA5" w:rsidRPr="00F17768">
        <w:t>.586.862,30 (</w:t>
      </w:r>
      <w:proofErr w:type="spellStart"/>
      <w:r w:rsidR="00D96DA5" w:rsidRPr="00F17768">
        <w:t>diecimilioni</w:t>
      </w:r>
      <w:proofErr w:type="spellEnd"/>
      <w:r w:rsidR="00D96DA5" w:rsidRPr="00F17768">
        <w:t xml:space="preserve"> </w:t>
      </w:r>
      <w:proofErr w:type="spellStart"/>
      <w:r w:rsidR="00D96DA5" w:rsidRPr="00F17768">
        <w:t>cinquecentoottantaseimila</w:t>
      </w:r>
      <w:proofErr w:type="spellEnd"/>
      <w:r w:rsidR="00D96DA5" w:rsidRPr="00F17768">
        <w:t xml:space="preserve"> </w:t>
      </w:r>
      <w:proofErr w:type="spellStart"/>
      <w:r w:rsidR="00D96DA5" w:rsidRPr="00F17768">
        <w:t>ottocentosessantadue</w:t>
      </w:r>
      <w:proofErr w:type="spellEnd"/>
      <w:r w:rsidR="00D96DA5" w:rsidRPr="00F17768">
        <w:t>/30),</w:t>
      </w:r>
      <w:r w:rsidRPr="00F17768">
        <w:rPr>
          <w:szCs w:val="24"/>
        </w:rPr>
        <w:t xml:space="preserve"> si procederà all’immediata individuazione dell’aggiudicatario </w:t>
      </w:r>
      <w:r w:rsidR="007151FB" w:rsidRPr="00F17768">
        <w:rPr>
          <w:szCs w:val="24"/>
        </w:rPr>
        <w:t xml:space="preserve">provvisorio </w:t>
      </w:r>
      <w:r w:rsidRPr="00F17768">
        <w:rPr>
          <w:szCs w:val="24"/>
        </w:rPr>
        <w:t>del procedimento competitivo.</w:t>
      </w:r>
    </w:p>
    <w:p w14:paraId="4E65AAF2" w14:textId="77777777" w:rsidR="007B0FE3" w:rsidRPr="00F17768" w:rsidRDefault="007B0FE3" w:rsidP="00F17768">
      <w:pPr>
        <w:pStyle w:val="ListParagraph"/>
        <w:rPr>
          <w:szCs w:val="24"/>
        </w:rPr>
      </w:pPr>
    </w:p>
    <w:p w14:paraId="201EB5E0" w14:textId="186DBC8F" w:rsidR="007B0FE3" w:rsidRPr="00F17768" w:rsidRDefault="00AB559E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rFonts w:cs="CenturyGothic-Bold"/>
          <w:b/>
          <w:bCs/>
          <w:szCs w:val="24"/>
        </w:rPr>
      </w:pPr>
      <w:r w:rsidRPr="00F17768">
        <w:rPr>
          <w:szCs w:val="24"/>
        </w:rPr>
        <w:t>Qualora venga presentata un’unica offerta ritenuta valida, per un importo inferiore al Valore Rialzato, i Commissari Giudizial</w:t>
      </w:r>
      <w:r w:rsidR="007151FB" w:rsidRPr="00F17768">
        <w:rPr>
          <w:szCs w:val="24"/>
        </w:rPr>
        <w:t>i</w:t>
      </w:r>
      <w:r w:rsidRPr="00F17768">
        <w:rPr>
          <w:szCs w:val="24"/>
        </w:rPr>
        <w:t xml:space="preserve"> </w:t>
      </w:r>
      <w:r w:rsidR="007151FB" w:rsidRPr="00F17768">
        <w:rPr>
          <w:rFonts w:cs="CenturyGothic"/>
          <w:szCs w:val="24"/>
        </w:rPr>
        <w:t>s</w:t>
      </w:r>
      <w:r w:rsidRPr="00F17768">
        <w:rPr>
          <w:szCs w:val="24"/>
        </w:rPr>
        <w:t>i riserva</w:t>
      </w:r>
      <w:r w:rsidR="007151FB" w:rsidRPr="00F17768">
        <w:rPr>
          <w:szCs w:val="24"/>
        </w:rPr>
        <w:t>no</w:t>
      </w:r>
      <w:r w:rsidRPr="00F17768">
        <w:rPr>
          <w:szCs w:val="24"/>
        </w:rPr>
        <w:t xml:space="preserve"> di valutarla e di procedere all’immediata individuazione dell’aggiudicatario </w:t>
      </w:r>
      <w:r w:rsidR="007151FB" w:rsidRPr="00F17768">
        <w:rPr>
          <w:szCs w:val="24"/>
        </w:rPr>
        <w:t xml:space="preserve">provvisorio </w:t>
      </w:r>
      <w:r w:rsidRPr="00F17768">
        <w:rPr>
          <w:szCs w:val="24"/>
        </w:rPr>
        <w:t>del procedimento competitivo ovvero all’apertura di un altro procedimento competitivo finalizzato alla individuazione di ulteriori interessati all’acquisto del</w:t>
      </w:r>
      <w:r w:rsidR="00D259B9" w:rsidRPr="00F17768">
        <w:rPr>
          <w:szCs w:val="24"/>
        </w:rPr>
        <w:t>le Quote</w:t>
      </w:r>
      <w:r w:rsidRPr="00F17768">
        <w:rPr>
          <w:szCs w:val="24"/>
        </w:rPr>
        <w:t>.</w:t>
      </w:r>
    </w:p>
    <w:p w14:paraId="5EEC776E" w14:textId="77777777" w:rsidR="007B0FE3" w:rsidRPr="00F17768" w:rsidRDefault="007B0FE3" w:rsidP="00F17768">
      <w:pPr>
        <w:autoSpaceDE w:val="0"/>
        <w:autoSpaceDN w:val="0"/>
        <w:adjustRightInd w:val="0"/>
        <w:jc w:val="both"/>
        <w:rPr>
          <w:rFonts w:cs="CenturyGothic-Bold"/>
          <w:b/>
          <w:bCs/>
          <w:szCs w:val="24"/>
        </w:rPr>
      </w:pPr>
    </w:p>
    <w:p w14:paraId="1252D275" w14:textId="373AEA16" w:rsidR="007B0FE3" w:rsidRPr="00F17768" w:rsidRDefault="00AB559E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rFonts w:cs="CenturyGothic-Bold"/>
          <w:b/>
          <w:bCs/>
          <w:szCs w:val="24"/>
        </w:rPr>
      </w:pPr>
      <w:r w:rsidRPr="00F17768">
        <w:rPr>
          <w:szCs w:val="24"/>
        </w:rPr>
        <w:t xml:space="preserve">Qualora vengano presentate più offerte ritenute valide, di cui la più alta inferiore al Valore Rialzato, si procederà ad una gara fra tutti gli offerenti a partire dall’offerta più alta fra quelle ricevute, con un rilancio minimo non inferiore ad Euro </w:t>
      </w:r>
      <w:r w:rsidR="00BE67DE" w:rsidRPr="00F17768">
        <w:rPr>
          <w:szCs w:val="24"/>
        </w:rPr>
        <w:t>100.000,00</w:t>
      </w:r>
      <w:r w:rsidRPr="00F17768">
        <w:rPr>
          <w:szCs w:val="24"/>
        </w:rPr>
        <w:t xml:space="preserve"> (</w:t>
      </w:r>
      <w:r w:rsidR="00BE67DE" w:rsidRPr="00F17768">
        <w:rPr>
          <w:szCs w:val="24"/>
        </w:rPr>
        <w:t>centomila</w:t>
      </w:r>
      <w:r w:rsidRPr="00F17768">
        <w:rPr>
          <w:szCs w:val="24"/>
        </w:rPr>
        <w:t xml:space="preserve">/00), da effettuarsi nel termine di sessanta secondi dal rilancio precedente. </w:t>
      </w:r>
    </w:p>
    <w:p w14:paraId="0E60817D" w14:textId="77777777" w:rsidR="007B0FE3" w:rsidRPr="00F17768" w:rsidRDefault="007B0FE3" w:rsidP="00F17768">
      <w:pPr>
        <w:pStyle w:val="ListParagraph"/>
        <w:rPr>
          <w:szCs w:val="24"/>
        </w:rPr>
      </w:pPr>
    </w:p>
    <w:p w14:paraId="798814CF" w14:textId="319A94FF" w:rsidR="00AB559E" w:rsidRPr="00F17768" w:rsidRDefault="00AB559E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rFonts w:cs="CenturyGothic-Bold"/>
          <w:b/>
          <w:bCs/>
          <w:szCs w:val="24"/>
        </w:rPr>
      </w:pPr>
      <w:r w:rsidRPr="00F17768">
        <w:rPr>
          <w:szCs w:val="24"/>
        </w:rPr>
        <w:t xml:space="preserve">Qualora vengano presentate più offerte ritenute valide, di cui la più alta pari o superiore al Valore Rialzato: </w:t>
      </w:r>
    </w:p>
    <w:p w14:paraId="7493498C" w14:textId="77777777" w:rsidR="00AB559E" w:rsidRPr="00F17768" w:rsidRDefault="00AB559E" w:rsidP="00F17768">
      <w:pPr>
        <w:autoSpaceDE w:val="0"/>
        <w:autoSpaceDN w:val="0"/>
        <w:adjustRightInd w:val="0"/>
        <w:ind w:left="720"/>
        <w:jc w:val="both"/>
        <w:rPr>
          <w:rFonts w:cs="CenturyGothic-Bold"/>
          <w:b/>
          <w:bCs/>
          <w:szCs w:val="24"/>
        </w:rPr>
      </w:pPr>
    </w:p>
    <w:p w14:paraId="08795F9A" w14:textId="15ABF846" w:rsidR="008A56A7" w:rsidRPr="00845C51" w:rsidRDefault="00AB559E" w:rsidP="00F17768">
      <w:pPr>
        <w:numPr>
          <w:ilvl w:val="0"/>
          <w:numId w:val="35"/>
        </w:numPr>
        <w:autoSpaceDE w:val="0"/>
        <w:autoSpaceDN w:val="0"/>
        <w:adjustRightInd w:val="0"/>
        <w:ind w:left="1134" w:hanging="567"/>
        <w:jc w:val="both"/>
        <w:rPr>
          <w:rFonts w:cs="CenturyGothic-Bold"/>
          <w:b/>
          <w:bCs/>
          <w:szCs w:val="24"/>
        </w:rPr>
      </w:pPr>
      <w:r w:rsidRPr="00F17768">
        <w:rPr>
          <w:rFonts w:cs="CenturyGothic"/>
          <w:szCs w:val="24"/>
        </w:rPr>
        <w:t>se,</w:t>
      </w:r>
      <w:r w:rsidRPr="00F17768">
        <w:rPr>
          <w:szCs w:val="24"/>
        </w:rPr>
        <w:t xml:space="preserve"> tra l’offerta più alta e la seconda offerta più alta ricevuta, vi sarà una differenza di almeno Euro </w:t>
      </w:r>
      <w:r w:rsidR="00BE67DE" w:rsidRPr="00F17768">
        <w:rPr>
          <w:szCs w:val="24"/>
        </w:rPr>
        <w:t>500.000,00</w:t>
      </w:r>
      <w:r w:rsidR="007151FB" w:rsidRPr="00F17768">
        <w:rPr>
          <w:szCs w:val="24"/>
        </w:rPr>
        <w:t xml:space="preserve"> (</w:t>
      </w:r>
      <w:r w:rsidR="00BE67DE" w:rsidRPr="00F17768">
        <w:rPr>
          <w:szCs w:val="24"/>
        </w:rPr>
        <w:t>cinquecentomila</w:t>
      </w:r>
      <w:r w:rsidR="007151FB" w:rsidRPr="00F17768">
        <w:rPr>
          <w:szCs w:val="24"/>
        </w:rPr>
        <w:t>/00)</w:t>
      </w:r>
      <w:r w:rsidRPr="00F17768">
        <w:rPr>
          <w:szCs w:val="24"/>
        </w:rPr>
        <w:t xml:space="preserve">, si procederà all’immediata individuazione dell’aggiudicatario </w:t>
      </w:r>
      <w:r w:rsidR="007151FB" w:rsidRPr="00F17768">
        <w:rPr>
          <w:szCs w:val="24"/>
        </w:rPr>
        <w:t xml:space="preserve">provvisorio </w:t>
      </w:r>
      <w:r w:rsidRPr="00F17768">
        <w:rPr>
          <w:szCs w:val="24"/>
        </w:rPr>
        <w:t>del procedimento competitivo al soggetto che ha presentato l’offerta più alta.;</w:t>
      </w:r>
      <w:r w:rsidR="00FF6246" w:rsidRPr="00F17768">
        <w:rPr>
          <w:szCs w:val="24"/>
        </w:rPr>
        <w:t xml:space="preserve"> </w:t>
      </w:r>
    </w:p>
    <w:p w14:paraId="6A06838D" w14:textId="77777777" w:rsidR="008A56A7" w:rsidRPr="00F17768" w:rsidRDefault="008A56A7" w:rsidP="00F17768">
      <w:pPr>
        <w:autoSpaceDE w:val="0"/>
        <w:autoSpaceDN w:val="0"/>
        <w:adjustRightInd w:val="0"/>
        <w:ind w:left="1134"/>
        <w:jc w:val="both"/>
        <w:rPr>
          <w:rFonts w:cs="CenturyGothic-Bold"/>
          <w:b/>
          <w:bCs/>
          <w:szCs w:val="24"/>
        </w:rPr>
      </w:pPr>
    </w:p>
    <w:p w14:paraId="344494D4" w14:textId="26E05DC0" w:rsidR="007B0FE3" w:rsidRPr="00845C51" w:rsidRDefault="00AB559E" w:rsidP="00F17768">
      <w:pPr>
        <w:numPr>
          <w:ilvl w:val="0"/>
          <w:numId w:val="35"/>
        </w:numPr>
        <w:autoSpaceDE w:val="0"/>
        <w:autoSpaceDN w:val="0"/>
        <w:adjustRightInd w:val="0"/>
        <w:ind w:left="1134" w:hanging="567"/>
        <w:jc w:val="both"/>
        <w:rPr>
          <w:rFonts w:cs="CenturyGothic-Bold"/>
          <w:b/>
          <w:bCs/>
          <w:szCs w:val="24"/>
        </w:rPr>
      </w:pPr>
      <w:r w:rsidRPr="00F17768">
        <w:rPr>
          <w:szCs w:val="24"/>
        </w:rPr>
        <w:t xml:space="preserve">se, tra l’offerta più alta e la seconda offerta più alta ricevuta, vi sarà una differenza inferiore ad Euro </w:t>
      </w:r>
      <w:r w:rsidR="00BE67DE" w:rsidRPr="00F17768">
        <w:rPr>
          <w:szCs w:val="24"/>
        </w:rPr>
        <w:t xml:space="preserve">500.000,00 </w:t>
      </w:r>
      <w:r w:rsidR="007151FB" w:rsidRPr="00F17768">
        <w:rPr>
          <w:szCs w:val="24"/>
        </w:rPr>
        <w:t>(</w:t>
      </w:r>
      <w:r w:rsidR="00BE67DE" w:rsidRPr="00F17768">
        <w:rPr>
          <w:szCs w:val="24"/>
        </w:rPr>
        <w:t>cinquecentomila</w:t>
      </w:r>
      <w:r w:rsidR="007151FB" w:rsidRPr="00F17768">
        <w:rPr>
          <w:szCs w:val="24"/>
        </w:rPr>
        <w:t xml:space="preserve">/00), </w:t>
      </w:r>
      <w:r w:rsidRPr="00F17768">
        <w:rPr>
          <w:szCs w:val="24"/>
        </w:rPr>
        <w:t xml:space="preserve">si procederà ad una gara fra tutti gli offerenti che abbiano presentato offerte inferiori di meno di Euro </w:t>
      </w:r>
      <w:r w:rsidR="00BE67DE" w:rsidRPr="00F17768">
        <w:rPr>
          <w:szCs w:val="24"/>
        </w:rPr>
        <w:t xml:space="preserve">500.000,00 </w:t>
      </w:r>
      <w:r w:rsidR="007151FB" w:rsidRPr="00F17768">
        <w:rPr>
          <w:szCs w:val="24"/>
        </w:rPr>
        <w:t>(</w:t>
      </w:r>
      <w:r w:rsidR="00BE67DE" w:rsidRPr="00F17768">
        <w:rPr>
          <w:szCs w:val="24"/>
        </w:rPr>
        <w:t>cinquecentomila</w:t>
      </w:r>
      <w:r w:rsidR="007151FB" w:rsidRPr="00F17768">
        <w:rPr>
          <w:szCs w:val="24"/>
        </w:rPr>
        <w:t xml:space="preserve">/00) </w:t>
      </w:r>
      <w:r w:rsidRPr="00F17768">
        <w:rPr>
          <w:szCs w:val="24"/>
        </w:rPr>
        <w:t xml:space="preserve">rispetto alla più alta offerta ricevuta, a partire dal valore indicato in quest’ultima offerta, con un rilancio minimo non inferiore ad Euro </w:t>
      </w:r>
      <w:r w:rsidR="00BE67DE" w:rsidRPr="00F17768">
        <w:rPr>
          <w:szCs w:val="24"/>
        </w:rPr>
        <w:t>100.000,00</w:t>
      </w:r>
      <w:r w:rsidRPr="00F17768">
        <w:rPr>
          <w:szCs w:val="24"/>
        </w:rPr>
        <w:t xml:space="preserve"> (</w:t>
      </w:r>
      <w:r w:rsidR="00BE67DE" w:rsidRPr="00F17768">
        <w:rPr>
          <w:szCs w:val="24"/>
        </w:rPr>
        <w:t>centomila</w:t>
      </w:r>
      <w:r w:rsidRPr="00F17768">
        <w:rPr>
          <w:szCs w:val="24"/>
        </w:rPr>
        <w:t>/00), da effettuarsi nel termine di sessanta secondi dal rilancio precedente.</w:t>
      </w:r>
      <w:r w:rsidR="00FF6246" w:rsidRPr="00F17768">
        <w:rPr>
          <w:szCs w:val="24"/>
        </w:rPr>
        <w:t xml:space="preserve"> </w:t>
      </w:r>
    </w:p>
    <w:p w14:paraId="460E5F42" w14:textId="77777777" w:rsidR="007B0FE3" w:rsidRPr="00F17768" w:rsidRDefault="007B0FE3" w:rsidP="00F17768">
      <w:pPr>
        <w:pStyle w:val="ListParagraph"/>
        <w:rPr>
          <w:rFonts w:cs="CenturyGothic-Bold"/>
          <w:bCs/>
          <w:szCs w:val="24"/>
        </w:rPr>
      </w:pPr>
    </w:p>
    <w:p w14:paraId="195A3AD3" w14:textId="2272C7C0" w:rsidR="00AB559E" w:rsidRPr="00F17768" w:rsidRDefault="00AB559E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rFonts w:cs="CenturyGothic-Bold"/>
          <w:b/>
          <w:bCs/>
          <w:szCs w:val="24"/>
        </w:rPr>
      </w:pPr>
      <w:r w:rsidRPr="00F17768">
        <w:rPr>
          <w:rFonts w:cs="CenturyGothic-Bold"/>
          <w:bCs/>
          <w:szCs w:val="24"/>
        </w:rPr>
        <w:t>Qualora vengano presentate più offerte ritenute valide di importo tra di esse pari, ma inferiore al Valore Rialzato,</w:t>
      </w:r>
      <w:r w:rsidRPr="00F17768">
        <w:rPr>
          <w:szCs w:val="24"/>
        </w:rPr>
        <w:t xml:space="preserve"> si procederà ad una gara fra i suddetti offerenti a partire dall’offerta più alta fra quelle ricevute, secondo </w:t>
      </w:r>
      <w:r w:rsidRPr="00F17768">
        <w:rPr>
          <w:rFonts w:cs="CenturyGothic-Bold"/>
          <w:bCs/>
          <w:szCs w:val="24"/>
        </w:rPr>
        <w:t xml:space="preserve">quanto previsto dall’articolo </w:t>
      </w:r>
      <w:r w:rsidR="007B0FE3" w:rsidRPr="00F17768">
        <w:rPr>
          <w:rFonts w:cs="CenturyGothic-Bold"/>
          <w:bCs/>
          <w:szCs w:val="24"/>
        </w:rPr>
        <w:t>4</w:t>
      </w:r>
      <w:r w:rsidRPr="00F17768">
        <w:rPr>
          <w:rFonts w:cs="CenturyGothic-Bold"/>
          <w:bCs/>
          <w:szCs w:val="24"/>
        </w:rPr>
        <w:t>.5 che precede</w:t>
      </w:r>
      <w:r w:rsidRPr="00F17768">
        <w:rPr>
          <w:szCs w:val="24"/>
        </w:rPr>
        <w:t xml:space="preserve">. Nel caso di mancato rilancio, i </w:t>
      </w:r>
      <w:r w:rsidR="00E11245" w:rsidRPr="00F17768">
        <w:rPr>
          <w:szCs w:val="24"/>
        </w:rPr>
        <w:t xml:space="preserve">Commissari </w:t>
      </w:r>
      <w:r w:rsidRPr="00F17768">
        <w:rPr>
          <w:szCs w:val="24"/>
        </w:rPr>
        <w:t>Giudizial</w:t>
      </w:r>
      <w:r w:rsidR="007151FB" w:rsidRPr="00F17768">
        <w:rPr>
          <w:szCs w:val="24"/>
        </w:rPr>
        <w:t>i</w:t>
      </w:r>
      <w:r w:rsidRPr="00F17768">
        <w:rPr>
          <w:szCs w:val="24"/>
        </w:rPr>
        <w:t xml:space="preserve"> si riserva</w:t>
      </w:r>
      <w:r w:rsidR="007151FB" w:rsidRPr="00F17768">
        <w:rPr>
          <w:szCs w:val="24"/>
        </w:rPr>
        <w:t>no</w:t>
      </w:r>
      <w:r w:rsidRPr="00F17768">
        <w:rPr>
          <w:szCs w:val="24"/>
        </w:rPr>
        <w:t xml:space="preserve"> di procedere all’immediata individuazione dell’aggiudicatario </w:t>
      </w:r>
      <w:r w:rsidR="00E11245" w:rsidRPr="00F17768">
        <w:rPr>
          <w:szCs w:val="24"/>
        </w:rPr>
        <w:t xml:space="preserve">provvisorio </w:t>
      </w:r>
      <w:r w:rsidRPr="00F17768">
        <w:rPr>
          <w:szCs w:val="24"/>
        </w:rPr>
        <w:t xml:space="preserve">del procedimento competitivo nel soggetto che ha presentato l’offerta più alta depositata per prima </w:t>
      </w:r>
      <w:r w:rsidRPr="00F17768">
        <w:rPr>
          <w:szCs w:val="24"/>
        </w:rPr>
        <w:lastRenderedPageBreak/>
        <w:t>ovvero all’apertura di un altro procedimento competitivo finalizzato alla individuazione di ulteriori interessati all’acquisto del</w:t>
      </w:r>
      <w:r w:rsidR="007B0FE3" w:rsidRPr="00F17768">
        <w:rPr>
          <w:szCs w:val="24"/>
        </w:rPr>
        <w:t>le Quote</w:t>
      </w:r>
      <w:r w:rsidRPr="00F17768">
        <w:rPr>
          <w:szCs w:val="24"/>
        </w:rPr>
        <w:t xml:space="preserve">. </w:t>
      </w:r>
    </w:p>
    <w:p w14:paraId="358F5DC3" w14:textId="77777777" w:rsidR="00AB559E" w:rsidRPr="00F17768" w:rsidRDefault="00AB559E" w:rsidP="00F17768">
      <w:pPr>
        <w:autoSpaceDE w:val="0"/>
        <w:autoSpaceDN w:val="0"/>
        <w:adjustRightInd w:val="0"/>
        <w:ind w:left="720"/>
        <w:jc w:val="both"/>
        <w:rPr>
          <w:rFonts w:cs="CenturyGothic-Bold"/>
          <w:b/>
          <w:bCs/>
          <w:szCs w:val="24"/>
        </w:rPr>
      </w:pPr>
    </w:p>
    <w:p w14:paraId="580CC2A7" w14:textId="4F68905D" w:rsidR="00AB559E" w:rsidRPr="00F17768" w:rsidRDefault="00AB559E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rFonts w:cs="CenturyGothic-Bold"/>
          <w:b/>
          <w:bCs/>
          <w:szCs w:val="24"/>
        </w:rPr>
      </w:pPr>
      <w:r w:rsidRPr="00F17768">
        <w:rPr>
          <w:szCs w:val="24"/>
        </w:rPr>
        <w:t>Qualora</w:t>
      </w:r>
      <w:r w:rsidRPr="00F17768">
        <w:rPr>
          <w:rFonts w:cs="CenturyGothic-Bold"/>
          <w:bCs/>
          <w:szCs w:val="24"/>
        </w:rPr>
        <w:t xml:space="preserve"> vengano presentate più offerte ritenute valide di importo tra di esse pari, e sempre che tale importo sia superiore al Valore Rialzato, si procederà ad una gara fra i suddetti offerenti e </w:t>
      </w:r>
      <w:r w:rsidRPr="00F17768">
        <w:rPr>
          <w:szCs w:val="24"/>
        </w:rPr>
        <w:t xml:space="preserve">tutti gli altri eventuali offerenti che abbiano presentato offerte inferiori di meno di Euro </w:t>
      </w:r>
      <w:r w:rsidR="00BE67DE" w:rsidRPr="00F17768">
        <w:rPr>
          <w:szCs w:val="24"/>
        </w:rPr>
        <w:t xml:space="preserve">100.000,00 (centomila/00) </w:t>
      </w:r>
      <w:r w:rsidRPr="00F17768">
        <w:rPr>
          <w:szCs w:val="24"/>
        </w:rPr>
        <w:t xml:space="preserve">rispetto alle offerte più alte ricevute, a partire dal valore indicato in queste ultime, secondo </w:t>
      </w:r>
      <w:r w:rsidRPr="00F17768">
        <w:rPr>
          <w:rFonts w:cs="CenturyGothic-Bold"/>
          <w:bCs/>
          <w:szCs w:val="24"/>
        </w:rPr>
        <w:t xml:space="preserve">quanto previsto dall’articolo </w:t>
      </w:r>
      <w:r w:rsidR="007B0FE3" w:rsidRPr="00F17768">
        <w:rPr>
          <w:rFonts w:cs="CenturyGothic-Bold"/>
          <w:bCs/>
          <w:szCs w:val="24"/>
        </w:rPr>
        <w:t>4</w:t>
      </w:r>
      <w:r w:rsidRPr="00F17768">
        <w:rPr>
          <w:rFonts w:cs="CenturyGothic-Bold"/>
          <w:bCs/>
          <w:szCs w:val="24"/>
        </w:rPr>
        <w:t xml:space="preserve">.6(b) che precede. Nel caso di mancato rilancio, </w:t>
      </w:r>
      <w:r w:rsidR="00FF6246" w:rsidRPr="00F17768">
        <w:rPr>
          <w:rFonts w:cs="CenturyGothic-Bold"/>
          <w:bCs/>
          <w:szCs w:val="24"/>
        </w:rPr>
        <w:t xml:space="preserve">le Quote saranno </w:t>
      </w:r>
      <w:r w:rsidRPr="00F17768">
        <w:rPr>
          <w:rFonts w:cs="CenturyGothic-Bold"/>
          <w:bCs/>
          <w:szCs w:val="24"/>
        </w:rPr>
        <w:t>immediatamente aggiudicat</w:t>
      </w:r>
      <w:r w:rsidR="00FF6246" w:rsidRPr="00F17768">
        <w:rPr>
          <w:rFonts w:cs="CenturyGothic-Bold"/>
          <w:bCs/>
          <w:szCs w:val="24"/>
        </w:rPr>
        <w:t xml:space="preserve">e </w:t>
      </w:r>
      <w:r w:rsidR="007151FB" w:rsidRPr="00F17768">
        <w:rPr>
          <w:rFonts w:cs="CenturyGothic-Bold"/>
          <w:bCs/>
          <w:szCs w:val="24"/>
        </w:rPr>
        <w:t xml:space="preserve">in via provvisoria </w:t>
      </w:r>
      <w:r w:rsidRPr="00F17768">
        <w:rPr>
          <w:rFonts w:cs="CenturyGothic-Bold"/>
          <w:bCs/>
          <w:szCs w:val="24"/>
        </w:rPr>
        <w:t>all’offerta più alta depositata per prima.</w:t>
      </w:r>
    </w:p>
    <w:p w14:paraId="6A66920D" w14:textId="77777777" w:rsidR="00F42F8D" w:rsidRPr="00F17768" w:rsidRDefault="00F42F8D" w:rsidP="00F17768">
      <w:pPr>
        <w:pStyle w:val="ListParagraph"/>
        <w:rPr>
          <w:rFonts w:cs="CenturyGothic-Bold"/>
          <w:b/>
          <w:bCs/>
          <w:szCs w:val="24"/>
        </w:rPr>
      </w:pPr>
    </w:p>
    <w:p w14:paraId="7977222A" w14:textId="04740BF0" w:rsidR="00F42F8D" w:rsidRPr="00845C51" w:rsidRDefault="00F42F8D" w:rsidP="00845C51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rFonts w:cs="CenturyGothic-Bold"/>
          <w:b/>
          <w:bCs/>
          <w:szCs w:val="24"/>
        </w:rPr>
      </w:pPr>
      <w:r w:rsidRPr="00845C51">
        <w:rPr>
          <w:szCs w:val="24"/>
        </w:rPr>
        <w:t>In caso di mancata presenza alla gara del miglior offerente, individuato secondo quanto precede, il procedim</w:t>
      </w:r>
      <w:r w:rsidRPr="00F17768">
        <w:rPr>
          <w:szCs w:val="24"/>
        </w:rPr>
        <w:t>ento competitivo potrà essere aggiudicato, in via provvisoria, ugualmente al medesimo anche se assente</w:t>
      </w:r>
      <w:r w:rsidR="00997B15" w:rsidRPr="00F17768">
        <w:rPr>
          <w:szCs w:val="24"/>
        </w:rPr>
        <w:t>. Con l’aggiudicazione, sono restituite agli offerenti non aggiudicatari le rispettive cauzioni.</w:t>
      </w:r>
    </w:p>
    <w:p w14:paraId="7C945F13" w14:textId="77777777" w:rsidR="00AB559E" w:rsidRPr="00F17768" w:rsidRDefault="00AB559E" w:rsidP="00845C51">
      <w:pPr>
        <w:pStyle w:val="ListParagraph"/>
        <w:rPr>
          <w:rFonts w:cs="CenturyGothic-Bold"/>
          <w:bCs/>
          <w:szCs w:val="24"/>
        </w:rPr>
      </w:pPr>
    </w:p>
    <w:p w14:paraId="09BC5AC9" w14:textId="7225C0FF" w:rsidR="00E4023C" w:rsidRPr="00F17768" w:rsidRDefault="00E4023C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rFonts w:cs="CenturyGothic-Bold"/>
          <w:bCs/>
          <w:szCs w:val="24"/>
        </w:rPr>
      </w:pPr>
      <w:r w:rsidRPr="00F17768">
        <w:rPr>
          <w:rFonts w:cs="CenturyGothic-Bold"/>
          <w:bCs/>
          <w:szCs w:val="24"/>
        </w:rPr>
        <w:t xml:space="preserve">In conformità a quanto previsto dal regolamento del Fondo, al paragrafo 11.12, entro </w:t>
      </w:r>
      <w:r w:rsidR="00B95147" w:rsidRPr="00F17768">
        <w:rPr>
          <w:rFonts w:cs="CenturyGothic-Bold"/>
          <w:bCs/>
          <w:szCs w:val="24"/>
        </w:rPr>
        <w:t>2</w:t>
      </w:r>
      <w:r w:rsidRPr="00F17768">
        <w:rPr>
          <w:rFonts w:cs="CenturyGothic-Bold"/>
          <w:bCs/>
          <w:szCs w:val="24"/>
        </w:rPr>
        <w:t xml:space="preserve"> giorni dall’aggiudicazione provvisoria Pessina invierà ai titolari di </w:t>
      </w:r>
      <w:r w:rsidR="00E40484" w:rsidRPr="00F17768">
        <w:rPr>
          <w:rFonts w:cs="CenturyGothic-Bold"/>
          <w:bCs/>
          <w:szCs w:val="24"/>
        </w:rPr>
        <w:t>D</w:t>
      </w:r>
      <w:r w:rsidRPr="00F17768">
        <w:rPr>
          <w:rFonts w:cs="CenturyGothic-Bold"/>
          <w:bCs/>
          <w:szCs w:val="24"/>
        </w:rPr>
        <w:t xml:space="preserve">iritto di </w:t>
      </w:r>
      <w:r w:rsidR="00E40484" w:rsidRPr="00F17768">
        <w:rPr>
          <w:rFonts w:cs="CenturyGothic-Bold"/>
          <w:bCs/>
          <w:szCs w:val="24"/>
        </w:rPr>
        <w:t>P</w:t>
      </w:r>
      <w:r w:rsidRPr="00F17768">
        <w:rPr>
          <w:rFonts w:cs="CenturyGothic-Bold"/>
          <w:bCs/>
          <w:szCs w:val="24"/>
        </w:rPr>
        <w:t>relazione sulle Quote, con in copia conoscenza la società di gestione del Fondo, una comunicazione (“</w:t>
      </w:r>
      <w:proofErr w:type="spellStart"/>
      <w:r w:rsidRPr="00F17768">
        <w:rPr>
          <w:rFonts w:cs="CenturyGothic-Bold"/>
          <w:b/>
          <w:bCs/>
          <w:szCs w:val="24"/>
        </w:rPr>
        <w:t>Denuntiatio</w:t>
      </w:r>
      <w:proofErr w:type="spellEnd"/>
      <w:r w:rsidRPr="00F17768">
        <w:rPr>
          <w:rFonts w:cs="CenturyGothic-Bold"/>
          <w:bCs/>
          <w:szCs w:val="24"/>
        </w:rPr>
        <w:t>”) indicando:</w:t>
      </w:r>
    </w:p>
    <w:p w14:paraId="2005B183" w14:textId="77777777" w:rsidR="00E4023C" w:rsidRPr="00F17768" w:rsidRDefault="00E4023C" w:rsidP="00F17768">
      <w:pPr>
        <w:pStyle w:val="ListParagraph"/>
        <w:rPr>
          <w:rFonts w:cs="CenturyGothic-Bold"/>
          <w:bCs/>
          <w:szCs w:val="24"/>
        </w:rPr>
      </w:pPr>
    </w:p>
    <w:p w14:paraId="2DB93C82" w14:textId="2AD70CDA" w:rsidR="00350F84" w:rsidRPr="00F17768" w:rsidRDefault="00E4023C" w:rsidP="00F17768">
      <w:pPr>
        <w:pStyle w:val="ListParagraph"/>
        <w:numPr>
          <w:ilvl w:val="0"/>
          <w:numId w:val="45"/>
        </w:numPr>
        <w:autoSpaceDE w:val="0"/>
        <w:autoSpaceDN w:val="0"/>
        <w:adjustRightInd w:val="0"/>
        <w:jc w:val="both"/>
        <w:rPr>
          <w:rFonts w:cs="CenturyGothic-Bold"/>
          <w:bCs/>
          <w:szCs w:val="24"/>
        </w:rPr>
      </w:pPr>
      <w:r w:rsidRPr="00F17768">
        <w:rPr>
          <w:rFonts w:cs="CenturyGothic-Bold"/>
          <w:bCs/>
          <w:szCs w:val="24"/>
        </w:rPr>
        <w:t>il numero di Quote oggetto di aggiudicazione provvisoria;</w:t>
      </w:r>
    </w:p>
    <w:p w14:paraId="1714CDC8" w14:textId="77777777" w:rsidR="004C23BD" w:rsidRPr="00F17768" w:rsidRDefault="004C23BD" w:rsidP="00F17768">
      <w:pPr>
        <w:pStyle w:val="ListParagraph"/>
        <w:autoSpaceDE w:val="0"/>
        <w:autoSpaceDN w:val="0"/>
        <w:adjustRightInd w:val="0"/>
        <w:ind w:left="1287"/>
        <w:jc w:val="both"/>
        <w:rPr>
          <w:rFonts w:cs="CenturyGothic-Bold"/>
          <w:bCs/>
          <w:szCs w:val="24"/>
        </w:rPr>
      </w:pPr>
    </w:p>
    <w:p w14:paraId="082CCC4C" w14:textId="40E6D8EF" w:rsidR="00E4023C" w:rsidRPr="00F17768" w:rsidRDefault="00E4023C" w:rsidP="00F17768">
      <w:pPr>
        <w:pStyle w:val="ListParagraph"/>
        <w:numPr>
          <w:ilvl w:val="0"/>
          <w:numId w:val="45"/>
        </w:numPr>
        <w:autoSpaceDE w:val="0"/>
        <w:autoSpaceDN w:val="0"/>
        <w:adjustRightInd w:val="0"/>
        <w:jc w:val="both"/>
        <w:rPr>
          <w:rFonts w:cs="CenturyGothic-Bold"/>
          <w:bCs/>
          <w:szCs w:val="24"/>
        </w:rPr>
      </w:pPr>
      <w:r w:rsidRPr="00F17768">
        <w:rPr>
          <w:rFonts w:cs="CenturyGothic-Bold"/>
          <w:bCs/>
          <w:szCs w:val="24"/>
        </w:rPr>
        <w:t>il prezzo offerto dall’</w:t>
      </w:r>
      <w:r w:rsidR="00616FEF" w:rsidRPr="00F17768">
        <w:rPr>
          <w:rFonts w:cs="CenturyGothic-Bold"/>
          <w:bCs/>
          <w:szCs w:val="24"/>
        </w:rPr>
        <w:t>a</w:t>
      </w:r>
      <w:r w:rsidRPr="00F17768">
        <w:rPr>
          <w:rFonts w:cs="CenturyGothic-Bold"/>
          <w:bCs/>
          <w:szCs w:val="24"/>
        </w:rPr>
        <w:t>ggiudicatario provvisorio;</w:t>
      </w:r>
    </w:p>
    <w:p w14:paraId="24F01EB7" w14:textId="77777777" w:rsidR="004C23BD" w:rsidRPr="00F17768" w:rsidRDefault="004C23BD" w:rsidP="00F17768">
      <w:pPr>
        <w:pStyle w:val="ListParagraph"/>
        <w:autoSpaceDE w:val="0"/>
        <w:autoSpaceDN w:val="0"/>
        <w:adjustRightInd w:val="0"/>
        <w:ind w:left="1287"/>
        <w:jc w:val="both"/>
        <w:rPr>
          <w:rFonts w:cs="CenturyGothic-Bold"/>
          <w:bCs/>
          <w:szCs w:val="24"/>
        </w:rPr>
      </w:pPr>
    </w:p>
    <w:p w14:paraId="591DB55E" w14:textId="1427292E" w:rsidR="00E4023C" w:rsidRPr="00F17768" w:rsidRDefault="00E4023C" w:rsidP="00F17768">
      <w:pPr>
        <w:pStyle w:val="ListParagraph"/>
        <w:numPr>
          <w:ilvl w:val="0"/>
          <w:numId w:val="45"/>
        </w:numPr>
        <w:autoSpaceDE w:val="0"/>
        <w:autoSpaceDN w:val="0"/>
        <w:adjustRightInd w:val="0"/>
        <w:jc w:val="both"/>
        <w:rPr>
          <w:rFonts w:cs="CenturyGothic-Bold"/>
          <w:bCs/>
          <w:szCs w:val="24"/>
        </w:rPr>
      </w:pPr>
      <w:r w:rsidRPr="00F17768">
        <w:rPr>
          <w:rFonts w:cs="CenturyGothic-Bold"/>
          <w:bCs/>
          <w:szCs w:val="24"/>
        </w:rPr>
        <w:t xml:space="preserve">il termine di 30 giorni dal ricevimento della </w:t>
      </w:r>
      <w:proofErr w:type="spellStart"/>
      <w:r w:rsidRPr="00F17768">
        <w:rPr>
          <w:rFonts w:cs="CenturyGothic-Bold"/>
          <w:bCs/>
          <w:szCs w:val="24"/>
        </w:rPr>
        <w:t>Denuntiatio</w:t>
      </w:r>
      <w:proofErr w:type="spellEnd"/>
      <w:r w:rsidRPr="00F17768">
        <w:rPr>
          <w:rFonts w:cs="CenturyGothic-Bold"/>
          <w:bCs/>
          <w:szCs w:val="24"/>
        </w:rPr>
        <w:t xml:space="preserve"> entro il quale l’interessato potrà esercitare il </w:t>
      </w:r>
      <w:r w:rsidR="00E40484" w:rsidRPr="00F17768">
        <w:rPr>
          <w:rFonts w:cs="CenturyGothic-Bold"/>
          <w:bCs/>
          <w:szCs w:val="24"/>
        </w:rPr>
        <w:t>D</w:t>
      </w:r>
      <w:r w:rsidRPr="00F17768">
        <w:rPr>
          <w:rFonts w:cs="CenturyGothic-Bold"/>
          <w:bCs/>
          <w:szCs w:val="24"/>
        </w:rPr>
        <w:t xml:space="preserve">iritto di </w:t>
      </w:r>
      <w:r w:rsidR="00E40484" w:rsidRPr="00F17768">
        <w:rPr>
          <w:rFonts w:cs="CenturyGothic-Bold"/>
          <w:bCs/>
          <w:szCs w:val="24"/>
        </w:rPr>
        <w:t>P</w:t>
      </w:r>
      <w:r w:rsidRPr="00F17768">
        <w:rPr>
          <w:rFonts w:cs="CenturyGothic-Bold"/>
          <w:bCs/>
          <w:szCs w:val="24"/>
        </w:rPr>
        <w:t>relazione</w:t>
      </w:r>
      <w:r w:rsidR="00306481" w:rsidRPr="00F17768">
        <w:rPr>
          <w:rFonts w:cs="CenturyGothic-Bold"/>
          <w:bCs/>
          <w:szCs w:val="24"/>
        </w:rPr>
        <w:t>;</w:t>
      </w:r>
    </w:p>
    <w:p w14:paraId="3D63940A" w14:textId="77777777" w:rsidR="004C23BD" w:rsidRPr="00F17768" w:rsidRDefault="004C23BD" w:rsidP="00F17768">
      <w:pPr>
        <w:pStyle w:val="ListParagraph"/>
        <w:autoSpaceDE w:val="0"/>
        <w:autoSpaceDN w:val="0"/>
        <w:adjustRightInd w:val="0"/>
        <w:ind w:left="1287"/>
        <w:jc w:val="both"/>
        <w:rPr>
          <w:rFonts w:cs="CenturyGothic-Bold"/>
          <w:bCs/>
          <w:szCs w:val="24"/>
        </w:rPr>
      </w:pPr>
    </w:p>
    <w:p w14:paraId="2D6F439A" w14:textId="303324AB" w:rsidR="00E4023C" w:rsidRPr="00F17768" w:rsidRDefault="00E4023C" w:rsidP="00F17768">
      <w:pPr>
        <w:pStyle w:val="ListParagraph"/>
        <w:numPr>
          <w:ilvl w:val="0"/>
          <w:numId w:val="45"/>
        </w:numPr>
        <w:autoSpaceDE w:val="0"/>
        <w:autoSpaceDN w:val="0"/>
        <w:adjustRightInd w:val="0"/>
        <w:jc w:val="both"/>
        <w:rPr>
          <w:rFonts w:cs="CenturyGothic-Bold"/>
          <w:bCs/>
          <w:szCs w:val="24"/>
        </w:rPr>
      </w:pPr>
      <w:r w:rsidRPr="00F17768">
        <w:rPr>
          <w:rFonts w:cs="CenturyGothic-Bold"/>
          <w:bCs/>
          <w:szCs w:val="24"/>
        </w:rPr>
        <w:t xml:space="preserve">che il mancato esercizio del </w:t>
      </w:r>
      <w:r w:rsidR="00E40484" w:rsidRPr="00F17768">
        <w:rPr>
          <w:rFonts w:cs="CenturyGothic-Bold"/>
          <w:bCs/>
          <w:szCs w:val="24"/>
        </w:rPr>
        <w:t>D</w:t>
      </w:r>
      <w:r w:rsidRPr="00F17768">
        <w:rPr>
          <w:rFonts w:cs="CenturyGothic-Bold"/>
          <w:bCs/>
          <w:szCs w:val="24"/>
        </w:rPr>
        <w:t xml:space="preserve">iritto di </w:t>
      </w:r>
      <w:r w:rsidR="00E40484" w:rsidRPr="00F17768">
        <w:rPr>
          <w:rFonts w:cs="CenturyGothic-Bold"/>
          <w:bCs/>
          <w:szCs w:val="24"/>
        </w:rPr>
        <w:t>P</w:t>
      </w:r>
      <w:r w:rsidRPr="00F17768">
        <w:rPr>
          <w:rFonts w:cs="CenturyGothic-Bold"/>
          <w:bCs/>
          <w:szCs w:val="24"/>
        </w:rPr>
        <w:t xml:space="preserve">relazione nel termine previsto dalla </w:t>
      </w:r>
      <w:proofErr w:type="spellStart"/>
      <w:r w:rsidRPr="00F17768">
        <w:rPr>
          <w:rFonts w:cs="CenturyGothic-Bold"/>
          <w:bCs/>
          <w:szCs w:val="24"/>
        </w:rPr>
        <w:t>Denuntiatio</w:t>
      </w:r>
      <w:proofErr w:type="spellEnd"/>
      <w:r w:rsidRPr="00F17768">
        <w:rPr>
          <w:rFonts w:cs="CenturyGothic-Bold"/>
          <w:bCs/>
          <w:szCs w:val="24"/>
        </w:rPr>
        <w:t xml:space="preserve"> comporterà</w:t>
      </w:r>
      <w:r w:rsidR="009E0D32" w:rsidRPr="00F17768">
        <w:rPr>
          <w:rFonts w:cs="CenturyGothic-Bold"/>
          <w:bCs/>
          <w:szCs w:val="24"/>
        </w:rPr>
        <w:t xml:space="preserve"> </w:t>
      </w:r>
      <w:r w:rsidRPr="00F17768">
        <w:rPr>
          <w:rFonts w:cs="CenturyGothic-Bold"/>
          <w:bCs/>
          <w:szCs w:val="24"/>
        </w:rPr>
        <w:t xml:space="preserve">la decadenza da parte del </w:t>
      </w:r>
      <w:proofErr w:type="spellStart"/>
      <w:r w:rsidRPr="00F17768">
        <w:rPr>
          <w:rFonts w:cs="CenturyGothic-Bold"/>
          <w:bCs/>
          <w:szCs w:val="24"/>
        </w:rPr>
        <w:t>prelazionario</w:t>
      </w:r>
      <w:proofErr w:type="spellEnd"/>
      <w:r w:rsidRPr="00F17768">
        <w:rPr>
          <w:rFonts w:cs="CenturyGothic-Bold"/>
          <w:bCs/>
          <w:szCs w:val="24"/>
        </w:rPr>
        <w:t xml:space="preserve"> di esercitare il proprio </w:t>
      </w:r>
      <w:r w:rsidR="00E40484" w:rsidRPr="00F17768">
        <w:rPr>
          <w:rFonts w:cs="CenturyGothic-Bold"/>
          <w:bCs/>
          <w:szCs w:val="24"/>
        </w:rPr>
        <w:t>D</w:t>
      </w:r>
      <w:r w:rsidRPr="00F17768">
        <w:rPr>
          <w:rFonts w:cs="CenturyGothic-Bold"/>
          <w:bCs/>
          <w:szCs w:val="24"/>
        </w:rPr>
        <w:t xml:space="preserve">iritto di </w:t>
      </w:r>
      <w:r w:rsidR="00E40484" w:rsidRPr="00F17768">
        <w:rPr>
          <w:rFonts w:cs="CenturyGothic-Bold"/>
          <w:bCs/>
          <w:szCs w:val="24"/>
        </w:rPr>
        <w:t>P</w:t>
      </w:r>
      <w:r w:rsidRPr="00F17768">
        <w:rPr>
          <w:rFonts w:cs="CenturyGothic-Bold"/>
          <w:bCs/>
          <w:szCs w:val="24"/>
        </w:rPr>
        <w:t>relazione</w:t>
      </w:r>
      <w:r w:rsidR="00D851FA" w:rsidRPr="00F17768">
        <w:rPr>
          <w:rFonts w:cs="CenturyGothic-Bold"/>
          <w:bCs/>
          <w:szCs w:val="24"/>
        </w:rPr>
        <w:t xml:space="preserve">;  </w:t>
      </w:r>
    </w:p>
    <w:p w14:paraId="35127037" w14:textId="77777777" w:rsidR="004C23BD" w:rsidRPr="00F17768" w:rsidRDefault="004C23BD" w:rsidP="00F17768">
      <w:pPr>
        <w:autoSpaceDE w:val="0"/>
        <w:autoSpaceDN w:val="0"/>
        <w:adjustRightInd w:val="0"/>
        <w:jc w:val="both"/>
        <w:rPr>
          <w:rFonts w:cs="CenturyGothic-Bold"/>
          <w:bCs/>
          <w:szCs w:val="24"/>
        </w:rPr>
      </w:pPr>
    </w:p>
    <w:p w14:paraId="61FC1072" w14:textId="262EC455" w:rsidR="00D851FA" w:rsidRPr="00F17768" w:rsidRDefault="00E4023C" w:rsidP="00F17768">
      <w:pPr>
        <w:pStyle w:val="ListParagraph"/>
        <w:numPr>
          <w:ilvl w:val="0"/>
          <w:numId w:val="45"/>
        </w:numPr>
        <w:autoSpaceDE w:val="0"/>
        <w:autoSpaceDN w:val="0"/>
        <w:adjustRightInd w:val="0"/>
        <w:jc w:val="both"/>
        <w:rPr>
          <w:rFonts w:cs="CenturyGothic-Bold"/>
          <w:bCs/>
          <w:szCs w:val="24"/>
        </w:rPr>
      </w:pPr>
      <w:r w:rsidRPr="00F17768">
        <w:rPr>
          <w:rFonts w:cs="CenturyGothic-Bold"/>
          <w:bCs/>
          <w:szCs w:val="24"/>
        </w:rPr>
        <w:t xml:space="preserve">che con l’esercizio del </w:t>
      </w:r>
      <w:r w:rsidR="00E40484" w:rsidRPr="00F17768">
        <w:rPr>
          <w:rFonts w:cs="CenturyGothic-Bold"/>
          <w:bCs/>
          <w:szCs w:val="24"/>
        </w:rPr>
        <w:t>D</w:t>
      </w:r>
      <w:r w:rsidRPr="00F17768">
        <w:rPr>
          <w:rFonts w:cs="CenturyGothic-Bold"/>
          <w:bCs/>
          <w:szCs w:val="24"/>
        </w:rPr>
        <w:t xml:space="preserve">iritto di </w:t>
      </w:r>
      <w:r w:rsidR="00E40484" w:rsidRPr="00F17768">
        <w:rPr>
          <w:rFonts w:cs="CenturyGothic-Bold"/>
          <w:bCs/>
          <w:szCs w:val="24"/>
        </w:rPr>
        <w:t>P</w:t>
      </w:r>
      <w:r w:rsidRPr="00F17768">
        <w:rPr>
          <w:rFonts w:cs="CenturyGothic-Bold"/>
          <w:bCs/>
          <w:szCs w:val="24"/>
        </w:rPr>
        <w:t xml:space="preserve">relazione, i </w:t>
      </w:r>
      <w:proofErr w:type="spellStart"/>
      <w:r w:rsidR="00E40484" w:rsidRPr="00F17768">
        <w:rPr>
          <w:rFonts w:cs="CenturyGothic-Bold"/>
          <w:bCs/>
          <w:szCs w:val="24"/>
        </w:rPr>
        <w:t>P</w:t>
      </w:r>
      <w:r w:rsidRPr="00F17768">
        <w:rPr>
          <w:rFonts w:cs="CenturyGothic-Bold"/>
          <w:bCs/>
          <w:szCs w:val="24"/>
        </w:rPr>
        <w:t>relazionari</w:t>
      </w:r>
      <w:proofErr w:type="spellEnd"/>
      <w:r w:rsidRPr="00F17768">
        <w:rPr>
          <w:rFonts w:cs="CenturyGothic-Bold"/>
          <w:bCs/>
          <w:szCs w:val="24"/>
        </w:rPr>
        <w:t xml:space="preserve"> si obbligano irrevocabilmente all’acquisto delle Quote, </w:t>
      </w:r>
      <w:r w:rsidR="00350F84" w:rsidRPr="00F17768">
        <w:rPr>
          <w:szCs w:val="24"/>
        </w:rPr>
        <w:t xml:space="preserve">alle condizioni </w:t>
      </w:r>
      <w:r w:rsidRPr="00F17768">
        <w:rPr>
          <w:szCs w:val="24"/>
        </w:rPr>
        <w:t xml:space="preserve">della </w:t>
      </w:r>
      <w:proofErr w:type="spellStart"/>
      <w:r w:rsidRPr="00F17768">
        <w:rPr>
          <w:szCs w:val="24"/>
        </w:rPr>
        <w:t>Denuntiatio</w:t>
      </w:r>
      <w:proofErr w:type="spellEnd"/>
      <w:r w:rsidR="00350F84" w:rsidRPr="00F17768">
        <w:rPr>
          <w:szCs w:val="24"/>
        </w:rPr>
        <w:t>.</w:t>
      </w:r>
    </w:p>
    <w:p w14:paraId="40147A0D" w14:textId="451772A9" w:rsidR="00350F84" w:rsidRPr="00F17768" w:rsidRDefault="00350F84" w:rsidP="00F17768">
      <w:pPr>
        <w:autoSpaceDE w:val="0"/>
        <w:autoSpaceDN w:val="0"/>
        <w:adjustRightInd w:val="0"/>
        <w:jc w:val="both"/>
        <w:rPr>
          <w:rFonts w:cs="CenturyGothic-Bold"/>
          <w:bCs/>
          <w:szCs w:val="24"/>
        </w:rPr>
      </w:pPr>
    </w:p>
    <w:p w14:paraId="4184F50B" w14:textId="4093242A" w:rsidR="004C23BD" w:rsidRPr="00F17768" w:rsidRDefault="009E0D32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rFonts w:cs="CenturyGothic-Bold"/>
          <w:bCs/>
          <w:szCs w:val="24"/>
        </w:rPr>
      </w:pPr>
      <w:r w:rsidRPr="00F17768">
        <w:rPr>
          <w:rFonts w:cs="CenturyGothic-Bold"/>
          <w:bCs/>
          <w:szCs w:val="24"/>
        </w:rPr>
        <w:t xml:space="preserve">Laddove entro il termine indicato nella </w:t>
      </w:r>
      <w:proofErr w:type="spellStart"/>
      <w:r w:rsidRPr="00F17768">
        <w:rPr>
          <w:rFonts w:cs="CenturyGothic-Bold"/>
          <w:bCs/>
          <w:szCs w:val="24"/>
        </w:rPr>
        <w:t>Denuntiatio</w:t>
      </w:r>
      <w:proofErr w:type="spellEnd"/>
      <w:r w:rsidR="004C23BD" w:rsidRPr="00F17768">
        <w:rPr>
          <w:rFonts w:cs="CenturyGothic-Bold"/>
          <w:bCs/>
          <w:szCs w:val="24"/>
        </w:rPr>
        <w:t xml:space="preserve">: </w:t>
      </w:r>
    </w:p>
    <w:p w14:paraId="67DF25C3" w14:textId="77777777" w:rsidR="004C23BD" w:rsidRPr="00F17768" w:rsidRDefault="004C23BD" w:rsidP="00F17768">
      <w:pPr>
        <w:pStyle w:val="ListParagraph"/>
        <w:autoSpaceDE w:val="0"/>
        <w:autoSpaceDN w:val="0"/>
        <w:adjustRightInd w:val="0"/>
        <w:ind w:left="567"/>
        <w:jc w:val="both"/>
        <w:rPr>
          <w:rFonts w:cs="CenturyGothic-Bold"/>
          <w:bCs/>
          <w:szCs w:val="24"/>
        </w:rPr>
      </w:pPr>
    </w:p>
    <w:p w14:paraId="78A331F3" w14:textId="53C2BDEF" w:rsidR="009E0D32" w:rsidRPr="00F17768" w:rsidRDefault="009E0D32" w:rsidP="00F17768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1134" w:hanging="567"/>
        <w:jc w:val="both"/>
        <w:rPr>
          <w:rFonts w:cs="CenturyGothic-Bold"/>
          <w:bCs/>
          <w:szCs w:val="24"/>
        </w:rPr>
      </w:pPr>
      <w:r w:rsidRPr="00F17768">
        <w:rPr>
          <w:rFonts w:cs="CenturyGothic-Bold"/>
          <w:bCs/>
          <w:szCs w:val="24"/>
        </w:rPr>
        <w:t xml:space="preserve">nessuno dei </w:t>
      </w:r>
      <w:proofErr w:type="spellStart"/>
      <w:r w:rsidRPr="00F17768">
        <w:rPr>
          <w:rFonts w:cs="CenturyGothic-Bold"/>
          <w:bCs/>
          <w:szCs w:val="24"/>
        </w:rPr>
        <w:t>prelazionari</w:t>
      </w:r>
      <w:proofErr w:type="spellEnd"/>
      <w:r w:rsidRPr="00F17768">
        <w:rPr>
          <w:rFonts w:cs="CenturyGothic-Bold"/>
          <w:bCs/>
          <w:szCs w:val="24"/>
        </w:rPr>
        <w:t xml:space="preserve"> eserciterà il proprio </w:t>
      </w:r>
      <w:r w:rsidR="002E2EB4" w:rsidRPr="00F17768">
        <w:rPr>
          <w:rFonts w:cs="CenturyGothic-Bold"/>
          <w:bCs/>
          <w:szCs w:val="24"/>
        </w:rPr>
        <w:t>D</w:t>
      </w:r>
      <w:r w:rsidRPr="00F17768">
        <w:rPr>
          <w:rFonts w:cs="CenturyGothic-Bold"/>
          <w:bCs/>
          <w:szCs w:val="24"/>
        </w:rPr>
        <w:t xml:space="preserve">iritto di </w:t>
      </w:r>
      <w:r w:rsidR="002E2EB4" w:rsidRPr="00F17768">
        <w:rPr>
          <w:rFonts w:cs="CenturyGothic-Bold"/>
          <w:bCs/>
          <w:szCs w:val="24"/>
        </w:rPr>
        <w:t>P</w:t>
      </w:r>
      <w:r w:rsidRPr="00F17768">
        <w:rPr>
          <w:rFonts w:cs="CenturyGothic-Bold"/>
          <w:bCs/>
          <w:szCs w:val="24"/>
        </w:rPr>
        <w:t>relazione, le Quote saranno immediatamente aggiudicate in via definitiva</w:t>
      </w:r>
      <w:r w:rsidR="00306481" w:rsidRPr="00F17768">
        <w:rPr>
          <w:rFonts w:cs="CenturyGothic-Bold"/>
          <w:bCs/>
          <w:szCs w:val="24"/>
        </w:rPr>
        <w:t xml:space="preserve"> all’offerente che in precedenza, ai sensi del procedimento competitivo di cui al presente Articolo 4, si era aggiudicato le Quote in via provvisoria</w:t>
      </w:r>
      <w:r w:rsidR="004C23BD" w:rsidRPr="00F17768">
        <w:rPr>
          <w:rFonts w:cs="CenturyGothic-Bold"/>
          <w:bCs/>
          <w:szCs w:val="24"/>
        </w:rPr>
        <w:t>;</w:t>
      </w:r>
    </w:p>
    <w:p w14:paraId="70FD52B0" w14:textId="77777777" w:rsidR="00413CCD" w:rsidRPr="00F17768" w:rsidRDefault="00413CCD" w:rsidP="00F17768">
      <w:pPr>
        <w:pStyle w:val="ListParagraph"/>
        <w:autoSpaceDE w:val="0"/>
        <w:autoSpaceDN w:val="0"/>
        <w:adjustRightInd w:val="0"/>
        <w:ind w:left="1134"/>
        <w:jc w:val="both"/>
        <w:rPr>
          <w:rFonts w:cs="CenturyGothic-Bold"/>
          <w:bCs/>
          <w:szCs w:val="24"/>
        </w:rPr>
      </w:pPr>
    </w:p>
    <w:p w14:paraId="45D00774" w14:textId="024D666C" w:rsidR="004C23BD" w:rsidRPr="00F17768" w:rsidRDefault="004C23BD" w:rsidP="00F17768">
      <w:pPr>
        <w:pStyle w:val="ListParagraph"/>
        <w:numPr>
          <w:ilvl w:val="0"/>
          <w:numId w:val="48"/>
        </w:numPr>
        <w:autoSpaceDE w:val="0"/>
        <w:autoSpaceDN w:val="0"/>
        <w:adjustRightInd w:val="0"/>
        <w:ind w:left="1134" w:hanging="567"/>
        <w:jc w:val="both"/>
        <w:rPr>
          <w:rFonts w:cs="CenturyGothic-Bold"/>
          <w:bCs/>
          <w:szCs w:val="24"/>
        </w:rPr>
      </w:pPr>
      <w:r w:rsidRPr="00F17768">
        <w:rPr>
          <w:rFonts w:cs="CenturyGothic-Bold"/>
          <w:bCs/>
          <w:szCs w:val="24"/>
        </w:rPr>
        <w:t xml:space="preserve">uno dei </w:t>
      </w:r>
      <w:proofErr w:type="spellStart"/>
      <w:r w:rsidRPr="00F17768">
        <w:rPr>
          <w:rFonts w:cs="CenturyGothic-Bold"/>
          <w:bCs/>
          <w:szCs w:val="24"/>
        </w:rPr>
        <w:t>prelazionari</w:t>
      </w:r>
      <w:proofErr w:type="spellEnd"/>
      <w:r w:rsidRPr="00F17768">
        <w:rPr>
          <w:rFonts w:cs="CenturyGothic-Bold"/>
          <w:bCs/>
          <w:szCs w:val="24"/>
        </w:rPr>
        <w:t xml:space="preserve"> eserciterà il proprio Diritto di Prelazione, le Quote saranno a tale soggetto immediatamente aggiudicate in via definitiva.</w:t>
      </w:r>
    </w:p>
    <w:p w14:paraId="2058D892" w14:textId="77777777" w:rsidR="004C23BD" w:rsidRPr="00F17768" w:rsidRDefault="004C23BD" w:rsidP="00F17768">
      <w:pPr>
        <w:autoSpaceDE w:val="0"/>
        <w:autoSpaceDN w:val="0"/>
        <w:adjustRightInd w:val="0"/>
        <w:jc w:val="both"/>
        <w:rPr>
          <w:rFonts w:cs="CenturyGothic-Bold"/>
          <w:bCs/>
          <w:szCs w:val="24"/>
        </w:rPr>
      </w:pPr>
    </w:p>
    <w:p w14:paraId="63105702" w14:textId="344EB5CB" w:rsidR="00AB559E" w:rsidRPr="00F17768" w:rsidRDefault="00AB559E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rFonts w:cs="CenturyGothic-Bold"/>
          <w:b/>
          <w:bCs/>
          <w:szCs w:val="24"/>
        </w:rPr>
      </w:pPr>
      <w:r w:rsidRPr="00F17768">
        <w:rPr>
          <w:szCs w:val="24"/>
        </w:rPr>
        <w:lastRenderedPageBreak/>
        <w:t xml:space="preserve">Il presente avviso prevede espressamente la non applicabilità degli artt. 571 e 572, terzo comma, </w:t>
      </w:r>
      <w:proofErr w:type="spellStart"/>
      <w:r w:rsidRPr="00F17768">
        <w:rPr>
          <w:szCs w:val="24"/>
        </w:rPr>
        <w:t>c.p.c.</w:t>
      </w:r>
      <w:proofErr w:type="spellEnd"/>
      <w:r w:rsidRPr="00F17768">
        <w:rPr>
          <w:szCs w:val="24"/>
        </w:rPr>
        <w:t xml:space="preserve">, nella parte in cui prevedono un’offerta al ribasso. </w:t>
      </w:r>
    </w:p>
    <w:p w14:paraId="04E6D25A" w14:textId="77777777" w:rsidR="00AB559E" w:rsidRPr="00F17768" w:rsidRDefault="00AB559E" w:rsidP="00F17768">
      <w:pPr>
        <w:autoSpaceDE w:val="0"/>
        <w:autoSpaceDN w:val="0"/>
        <w:adjustRightInd w:val="0"/>
        <w:ind w:left="720"/>
        <w:jc w:val="both"/>
        <w:rPr>
          <w:rFonts w:cs="CenturyGothic-Bold"/>
          <w:b/>
          <w:bCs/>
          <w:szCs w:val="24"/>
        </w:rPr>
      </w:pPr>
    </w:p>
    <w:p w14:paraId="26208C61" w14:textId="1AF4B7A9" w:rsidR="00AB559E" w:rsidRPr="00F17768" w:rsidRDefault="00AB559E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rFonts w:cs="CenturyGothic-Bold"/>
          <w:b/>
          <w:bCs/>
          <w:szCs w:val="24"/>
        </w:rPr>
      </w:pPr>
      <w:r w:rsidRPr="00F17768">
        <w:rPr>
          <w:szCs w:val="24"/>
        </w:rPr>
        <w:t xml:space="preserve">Alla predetta gara sarà ammesso esclusivamente l’offerente – ovvero il legale rappresentante qualora si tratti di società o il soggetto dotato di apposita procura speciale (conferita con atto pubblico redatto da Notaio italiano o scrittura privata autenticata da Notaio </w:t>
      </w:r>
      <w:r w:rsidR="00C476DF" w:rsidRPr="00F17768">
        <w:rPr>
          <w:szCs w:val="24"/>
        </w:rPr>
        <w:t>i</w:t>
      </w:r>
      <w:r w:rsidRPr="00F17768">
        <w:rPr>
          <w:szCs w:val="24"/>
        </w:rPr>
        <w:t>taliano, che procederà a verificare i poteri di rappresentanza</w:t>
      </w:r>
      <w:r w:rsidR="00C476DF" w:rsidRPr="00F17768">
        <w:rPr>
          <w:szCs w:val="24"/>
        </w:rPr>
        <w:t>, ovvero tramite Notaio estero, con successiva legalizzazione dell’atto e deposito agli atti di Notaio italiano</w:t>
      </w:r>
      <w:r w:rsidRPr="00F17768">
        <w:rPr>
          <w:szCs w:val="24"/>
        </w:rPr>
        <w:t xml:space="preserve">) a rappresentare il partecipante – e comunque un solo soggetto per ciascun partecipante alla gara, salvo la necessità di farsi assistere da uno o più legali, ovvero da un interprete per un soggetto straniero. </w:t>
      </w:r>
    </w:p>
    <w:p w14:paraId="49B63C3B" w14:textId="77777777" w:rsidR="00AB559E" w:rsidRPr="00F17768" w:rsidRDefault="00AB559E" w:rsidP="00F17768">
      <w:pPr>
        <w:autoSpaceDE w:val="0"/>
        <w:autoSpaceDN w:val="0"/>
        <w:adjustRightInd w:val="0"/>
        <w:ind w:left="720"/>
        <w:jc w:val="both"/>
        <w:rPr>
          <w:rFonts w:cs="CenturyGothic-Bold"/>
          <w:b/>
          <w:bCs/>
          <w:szCs w:val="24"/>
        </w:rPr>
      </w:pPr>
    </w:p>
    <w:p w14:paraId="6F3178D9" w14:textId="096E416F" w:rsidR="00AB559E" w:rsidRPr="00F17768" w:rsidRDefault="00AB559E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rFonts w:cs="CenturyGothic-Bold"/>
          <w:b/>
          <w:bCs/>
          <w:szCs w:val="24"/>
        </w:rPr>
      </w:pPr>
      <w:r w:rsidRPr="00F17768">
        <w:rPr>
          <w:szCs w:val="24"/>
        </w:rPr>
        <w:t xml:space="preserve">Il verbale d’asta non ha valore di contratto. Gli effetti traslativi si produrranno solo al momento </w:t>
      </w:r>
      <w:r w:rsidR="00F42F8D" w:rsidRPr="00F17768">
        <w:rPr>
          <w:szCs w:val="24"/>
        </w:rPr>
        <w:t xml:space="preserve">della </w:t>
      </w:r>
      <w:r w:rsidRPr="00F17768">
        <w:rPr>
          <w:szCs w:val="24"/>
        </w:rPr>
        <w:t>sottoscrizione del</w:t>
      </w:r>
      <w:r w:rsidR="00D56F1C" w:rsidRPr="00F17768">
        <w:rPr>
          <w:szCs w:val="24"/>
        </w:rPr>
        <w:t xml:space="preserve">l’atto notarile di trasferimento </w:t>
      </w:r>
      <w:r w:rsidRPr="00F17768">
        <w:rPr>
          <w:szCs w:val="24"/>
        </w:rPr>
        <w:t>.</w:t>
      </w:r>
    </w:p>
    <w:p w14:paraId="57F61FBB" w14:textId="77777777" w:rsidR="00AB559E" w:rsidRPr="00F17768" w:rsidRDefault="00AB559E" w:rsidP="00F17768">
      <w:pPr>
        <w:autoSpaceDE w:val="0"/>
        <w:autoSpaceDN w:val="0"/>
        <w:adjustRightInd w:val="0"/>
        <w:ind w:left="720"/>
        <w:jc w:val="both"/>
        <w:rPr>
          <w:rFonts w:cs="CenturyGothic-Bold"/>
          <w:b/>
          <w:bCs/>
          <w:szCs w:val="24"/>
        </w:rPr>
      </w:pPr>
    </w:p>
    <w:p w14:paraId="182C2F5D" w14:textId="692085B0" w:rsidR="00AB559E" w:rsidRPr="00F17768" w:rsidRDefault="00AB559E" w:rsidP="00F17768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567" w:hanging="567"/>
        <w:contextualSpacing w:val="0"/>
        <w:jc w:val="both"/>
        <w:rPr>
          <w:rFonts w:cs="CenturyGothic-Bold"/>
          <w:b/>
          <w:bCs/>
          <w:smallCaps/>
          <w:szCs w:val="24"/>
        </w:rPr>
      </w:pPr>
      <w:r w:rsidRPr="00F17768">
        <w:rPr>
          <w:rFonts w:cs="CenturyGothic-Bold"/>
          <w:b/>
          <w:bCs/>
          <w:smallCaps/>
          <w:szCs w:val="24"/>
        </w:rPr>
        <w:t>Sottoscrizione dell’atto di trasferimento del</w:t>
      </w:r>
      <w:r w:rsidR="00506D2A" w:rsidRPr="00F17768">
        <w:rPr>
          <w:rFonts w:cs="CenturyGothic-Bold"/>
          <w:b/>
          <w:bCs/>
          <w:smallCaps/>
          <w:szCs w:val="24"/>
        </w:rPr>
        <w:t xml:space="preserve">le Quote </w:t>
      </w:r>
      <w:r w:rsidRPr="00F17768">
        <w:rPr>
          <w:rFonts w:cs="CenturyGothic-Bold"/>
          <w:b/>
          <w:bCs/>
          <w:smallCaps/>
          <w:szCs w:val="24"/>
        </w:rPr>
        <w:t>e termini di pagamento</w:t>
      </w:r>
    </w:p>
    <w:p w14:paraId="7221C1DF" w14:textId="77777777" w:rsidR="00AB559E" w:rsidRPr="00F17768" w:rsidRDefault="00AB559E" w:rsidP="00F17768">
      <w:pPr>
        <w:autoSpaceDE w:val="0"/>
        <w:autoSpaceDN w:val="0"/>
        <w:adjustRightInd w:val="0"/>
        <w:jc w:val="both"/>
        <w:rPr>
          <w:rFonts w:cs="CenturyGothic-Bold"/>
          <w:b/>
          <w:bCs/>
          <w:szCs w:val="24"/>
        </w:rPr>
      </w:pPr>
    </w:p>
    <w:p w14:paraId="141785F8" w14:textId="2CBAC7E0" w:rsidR="00AB559E" w:rsidRPr="00F17768" w:rsidRDefault="00AB559E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szCs w:val="24"/>
        </w:rPr>
      </w:pPr>
      <w:r w:rsidRPr="00F17768">
        <w:rPr>
          <w:szCs w:val="24"/>
        </w:rPr>
        <w:t xml:space="preserve">Il deposito cauzionale costituito dall’aggiudicatario </w:t>
      </w:r>
      <w:r w:rsidR="00D851FA" w:rsidRPr="00F17768">
        <w:rPr>
          <w:szCs w:val="24"/>
        </w:rPr>
        <w:t xml:space="preserve">definitivo </w:t>
      </w:r>
      <w:r w:rsidRPr="00F17768">
        <w:rPr>
          <w:szCs w:val="24"/>
        </w:rPr>
        <w:t>unitamente alla presentazione dell’offerta (il “</w:t>
      </w:r>
      <w:r w:rsidRPr="00F17768">
        <w:rPr>
          <w:b/>
          <w:szCs w:val="24"/>
        </w:rPr>
        <w:t>Deposito Cauzionale</w:t>
      </w:r>
      <w:r w:rsidRPr="00F17768">
        <w:rPr>
          <w:szCs w:val="24"/>
        </w:rPr>
        <w:t>”) sarà computato in conto prezzo all’atto del pagamento del corrispettivo del</w:t>
      </w:r>
      <w:r w:rsidR="007B0FE3" w:rsidRPr="00F17768">
        <w:rPr>
          <w:szCs w:val="24"/>
        </w:rPr>
        <w:t xml:space="preserve">le Quote </w:t>
      </w:r>
      <w:r w:rsidRPr="00F17768">
        <w:rPr>
          <w:szCs w:val="24"/>
        </w:rPr>
        <w:t xml:space="preserve">da parte del soggetto che risulterà aggiudicatario </w:t>
      </w:r>
      <w:r w:rsidR="001F01A2" w:rsidRPr="00F17768">
        <w:rPr>
          <w:szCs w:val="24"/>
        </w:rPr>
        <w:t xml:space="preserve">definitivo </w:t>
      </w:r>
      <w:r w:rsidRPr="00F17768">
        <w:rPr>
          <w:szCs w:val="24"/>
        </w:rPr>
        <w:t>del procedimento competitivo.</w:t>
      </w:r>
    </w:p>
    <w:p w14:paraId="657B3B9B" w14:textId="77777777" w:rsidR="00AB559E" w:rsidRPr="00F17768" w:rsidRDefault="00AB559E" w:rsidP="00F17768">
      <w:pPr>
        <w:autoSpaceDE w:val="0"/>
        <w:autoSpaceDN w:val="0"/>
        <w:adjustRightInd w:val="0"/>
        <w:ind w:left="720"/>
        <w:jc w:val="both"/>
        <w:rPr>
          <w:szCs w:val="24"/>
        </w:rPr>
      </w:pPr>
    </w:p>
    <w:p w14:paraId="43AA9235" w14:textId="642D0391" w:rsidR="00AB559E" w:rsidRPr="00F17768" w:rsidRDefault="00AB559E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szCs w:val="24"/>
        </w:rPr>
      </w:pPr>
      <w:r w:rsidRPr="00F17768">
        <w:rPr>
          <w:szCs w:val="24"/>
        </w:rPr>
        <w:t xml:space="preserve">Il saldo di quanto dovuto dall’aggiudicatario </w:t>
      </w:r>
      <w:r w:rsidR="001F01A2" w:rsidRPr="00F17768">
        <w:rPr>
          <w:szCs w:val="24"/>
        </w:rPr>
        <w:t xml:space="preserve">definitivo </w:t>
      </w:r>
      <w:r w:rsidRPr="00F17768">
        <w:rPr>
          <w:szCs w:val="24"/>
        </w:rPr>
        <w:t>al netto del Deposito Cauzionale (il “</w:t>
      </w:r>
      <w:r w:rsidRPr="00F17768">
        <w:rPr>
          <w:b/>
          <w:szCs w:val="24"/>
        </w:rPr>
        <w:t>Saldo</w:t>
      </w:r>
      <w:r w:rsidRPr="00F17768">
        <w:rPr>
          <w:szCs w:val="24"/>
        </w:rPr>
        <w:t>”) sarà versato in un’unica soluzione a mezzo assegni circolari intestati a “</w:t>
      </w:r>
      <w:r w:rsidR="007B0FE3" w:rsidRPr="00F17768">
        <w:rPr>
          <w:szCs w:val="24"/>
        </w:rPr>
        <w:t>Pessina Costruzioni S.p.A.</w:t>
      </w:r>
      <w:r w:rsidRPr="00F17768">
        <w:rPr>
          <w:szCs w:val="24"/>
        </w:rPr>
        <w:t xml:space="preserve">”, entro il termine </w:t>
      </w:r>
      <w:r w:rsidR="00DD0121" w:rsidRPr="00F17768">
        <w:rPr>
          <w:szCs w:val="24"/>
        </w:rPr>
        <w:t xml:space="preserve">perentorio </w:t>
      </w:r>
      <w:r w:rsidRPr="00F17768">
        <w:rPr>
          <w:szCs w:val="24"/>
        </w:rPr>
        <w:t xml:space="preserve">di </w:t>
      </w:r>
      <w:r w:rsidR="000F7A18" w:rsidRPr="00F17768">
        <w:rPr>
          <w:szCs w:val="24"/>
        </w:rPr>
        <w:t xml:space="preserve">40 </w:t>
      </w:r>
      <w:r w:rsidRPr="00F17768">
        <w:rPr>
          <w:szCs w:val="24"/>
        </w:rPr>
        <w:t>(</w:t>
      </w:r>
      <w:r w:rsidR="000F7A18" w:rsidRPr="00F17768">
        <w:rPr>
          <w:szCs w:val="24"/>
        </w:rPr>
        <w:t>quaranta</w:t>
      </w:r>
      <w:r w:rsidRPr="00F17768">
        <w:rPr>
          <w:szCs w:val="24"/>
        </w:rPr>
        <w:t>) giorni dalla data di aggiudicazione</w:t>
      </w:r>
      <w:r w:rsidR="001F01A2" w:rsidRPr="00F17768">
        <w:rPr>
          <w:szCs w:val="24"/>
        </w:rPr>
        <w:t xml:space="preserve"> definitiva</w:t>
      </w:r>
      <w:r w:rsidRPr="00F17768">
        <w:rPr>
          <w:szCs w:val="24"/>
        </w:rPr>
        <w:t xml:space="preserve">, </w:t>
      </w:r>
      <w:r w:rsidR="00C476DF" w:rsidRPr="00F17768">
        <w:rPr>
          <w:szCs w:val="24"/>
        </w:rPr>
        <w:t xml:space="preserve">con successivo </w:t>
      </w:r>
      <w:r w:rsidR="00734FF8" w:rsidRPr="00F17768">
        <w:rPr>
          <w:szCs w:val="24"/>
        </w:rPr>
        <w:t xml:space="preserve">atto </w:t>
      </w:r>
      <w:r w:rsidR="00C476DF" w:rsidRPr="00F17768">
        <w:rPr>
          <w:szCs w:val="24"/>
        </w:rPr>
        <w:t xml:space="preserve">notarile di </w:t>
      </w:r>
      <w:r w:rsidR="00734FF8" w:rsidRPr="00F17768">
        <w:rPr>
          <w:szCs w:val="24"/>
        </w:rPr>
        <w:t>trasferimento</w:t>
      </w:r>
      <w:r w:rsidR="00C476DF" w:rsidRPr="00F17768">
        <w:rPr>
          <w:szCs w:val="24"/>
        </w:rPr>
        <w:t xml:space="preserve">, che dovrà avere luogo  </w:t>
      </w:r>
      <w:r w:rsidRPr="00F17768">
        <w:rPr>
          <w:szCs w:val="24"/>
        </w:rPr>
        <w:t xml:space="preserve">presso il Notaio che sarà comunicato da </w:t>
      </w:r>
      <w:r w:rsidR="007B0FE3" w:rsidRPr="00F17768">
        <w:rPr>
          <w:szCs w:val="24"/>
        </w:rPr>
        <w:t>Pessina</w:t>
      </w:r>
      <w:r w:rsidR="00330305" w:rsidRPr="00F17768">
        <w:rPr>
          <w:szCs w:val="24"/>
        </w:rPr>
        <w:t xml:space="preserve">, in forza di autorizzazione del Tribunale </w:t>
      </w:r>
      <w:r w:rsidR="00330305" w:rsidRPr="00F17768">
        <w:rPr>
          <w:i/>
          <w:szCs w:val="24"/>
        </w:rPr>
        <w:t xml:space="preserve">ex </w:t>
      </w:r>
      <w:r w:rsidR="00330305" w:rsidRPr="00F17768">
        <w:rPr>
          <w:szCs w:val="24"/>
        </w:rPr>
        <w:t>art. 161, comma 7, L.F. (</w:t>
      </w:r>
      <w:r w:rsidR="00330305" w:rsidRPr="00F17768">
        <w:rPr>
          <w:color w:val="000000"/>
        </w:rPr>
        <w:t xml:space="preserve">ovvero, </w:t>
      </w:r>
      <w:r w:rsidR="00997B15" w:rsidRPr="00F17768">
        <w:rPr>
          <w:color w:val="000000"/>
        </w:rPr>
        <w:t xml:space="preserve">previa autorizzazione dei competenti Organi concorsuali della procedura aperta all’esito del procedimento ex art. 161, sesto comma, </w:t>
      </w:r>
      <w:r w:rsidR="00D80F9A">
        <w:rPr>
          <w:color w:val="000000"/>
        </w:rPr>
        <w:t>L.F.</w:t>
      </w:r>
      <w:r w:rsidR="00330305" w:rsidRPr="00F17768">
        <w:rPr>
          <w:color w:val="000000"/>
        </w:rPr>
        <w:t xml:space="preserve">). </w:t>
      </w:r>
      <w:r w:rsidRPr="00F17768">
        <w:rPr>
          <w:szCs w:val="24"/>
        </w:rPr>
        <w:t xml:space="preserve"> Tale termine è da intendersi fissato in favore del</w:t>
      </w:r>
      <w:r w:rsidR="00C476DF" w:rsidRPr="00F17768">
        <w:rPr>
          <w:szCs w:val="24"/>
        </w:rPr>
        <w:t xml:space="preserve"> solo cedente</w:t>
      </w:r>
      <w:r w:rsidRPr="00F17768">
        <w:rPr>
          <w:szCs w:val="24"/>
        </w:rPr>
        <w:t>. Contestualmente alla sottoscrizione dell’atto di trasferimento del</w:t>
      </w:r>
      <w:r w:rsidR="007B0FE3" w:rsidRPr="00F17768">
        <w:rPr>
          <w:szCs w:val="24"/>
        </w:rPr>
        <w:t>le Quote</w:t>
      </w:r>
      <w:r w:rsidRPr="00F17768">
        <w:rPr>
          <w:szCs w:val="24"/>
        </w:rPr>
        <w:t>, i Commissari Giudizial</w:t>
      </w:r>
      <w:r w:rsidR="00BE67DE" w:rsidRPr="00F17768">
        <w:rPr>
          <w:szCs w:val="24"/>
        </w:rPr>
        <w:t>i</w:t>
      </w:r>
      <w:r w:rsidRPr="00F17768">
        <w:rPr>
          <w:szCs w:val="24"/>
        </w:rPr>
        <w:t xml:space="preserve"> consegner</w:t>
      </w:r>
      <w:r w:rsidR="00BE67DE" w:rsidRPr="00F17768">
        <w:rPr>
          <w:szCs w:val="24"/>
        </w:rPr>
        <w:t>anno</w:t>
      </w:r>
      <w:r w:rsidRPr="00F17768">
        <w:rPr>
          <w:szCs w:val="24"/>
        </w:rPr>
        <w:t xml:space="preserve"> a </w:t>
      </w:r>
      <w:r w:rsidR="007B0FE3" w:rsidRPr="00F17768">
        <w:rPr>
          <w:szCs w:val="24"/>
        </w:rPr>
        <w:t xml:space="preserve">Pessina </w:t>
      </w:r>
      <w:r w:rsidRPr="00F17768">
        <w:rPr>
          <w:szCs w:val="24"/>
        </w:rPr>
        <w:t>il Deposito Cauzionale.</w:t>
      </w:r>
      <w:r w:rsidR="00840995" w:rsidRPr="00F17768">
        <w:rPr>
          <w:szCs w:val="24"/>
        </w:rPr>
        <w:t xml:space="preserve"> </w:t>
      </w:r>
      <w:r w:rsidR="00D80F9A">
        <w:rPr>
          <w:szCs w:val="24"/>
        </w:rPr>
        <w:t xml:space="preserve">È </w:t>
      </w:r>
      <w:r w:rsidR="00840995" w:rsidRPr="00F17768">
        <w:rPr>
          <w:szCs w:val="24"/>
        </w:rPr>
        <w:t xml:space="preserve">in facoltà degli </w:t>
      </w:r>
      <w:r w:rsidR="00622C3C" w:rsidRPr="00F17768">
        <w:rPr>
          <w:szCs w:val="24"/>
        </w:rPr>
        <w:t>O</w:t>
      </w:r>
      <w:r w:rsidR="00840995" w:rsidRPr="00845C51">
        <w:rPr>
          <w:szCs w:val="24"/>
        </w:rPr>
        <w:t xml:space="preserve">rgani della procedura concorsuale aperta all’esito del procedimento ex art. 161, sesto comma, </w:t>
      </w:r>
      <w:r w:rsidR="00D80F9A">
        <w:rPr>
          <w:color w:val="000000"/>
        </w:rPr>
        <w:t>L.F.</w:t>
      </w:r>
      <w:r w:rsidR="00840995" w:rsidRPr="00845C51">
        <w:rPr>
          <w:szCs w:val="24"/>
        </w:rPr>
        <w:t>, prevedere la corresponsione del saldo prezzo direttamente in favore della procedura concorsuale medesima</w:t>
      </w:r>
      <w:r w:rsidR="00622C3C" w:rsidRPr="00F17768">
        <w:rPr>
          <w:szCs w:val="24"/>
        </w:rPr>
        <w:t>, con relativa comunicazione all’aggiudicatario</w:t>
      </w:r>
      <w:r w:rsidR="00840995" w:rsidRPr="00845C51">
        <w:rPr>
          <w:szCs w:val="24"/>
        </w:rPr>
        <w:t>.</w:t>
      </w:r>
    </w:p>
    <w:p w14:paraId="3EFF2A4D" w14:textId="77777777" w:rsidR="000F7A18" w:rsidRPr="00F17768" w:rsidRDefault="000F7A18" w:rsidP="00F17768">
      <w:pPr>
        <w:pStyle w:val="ListParagraph"/>
        <w:rPr>
          <w:szCs w:val="24"/>
        </w:rPr>
      </w:pPr>
    </w:p>
    <w:p w14:paraId="062BB7BD" w14:textId="525A75CD" w:rsidR="00AB559E" w:rsidRPr="00F17768" w:rsidRDefault="00AB559E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szCs w:val="24"/>
        </w:rPr>
      </w:pPr>
      <w:r w:rsidRPr="00F17768">
        <w:rPr>
          <w:szCs w:val="24"/>
        </w:rPr>
        <w:t>Le spese, anche relative alle imposte di legge, del</w:t>
      </w:r>
      <w:r w:rsidR="00C93EA2" w:rsidRPr="00F17768">
        <w:rPr>
          <w:szCs w:val="24"/>
        </w:rPr>
        <w:t>l’atto di trasferimento</w:t>
      </w:r>
      <w:r w:rsidRPr="00F17768">
        <w:rPr>
          <w:szCs w:val="24"/>
        </w:rPr>
        <w:t>, nonché ogni eventuale spesa, onere o costo accessori al perfezionamento del trasferimento della titolarità del</w:t>
      </w:r>
      <w:r w:rsidR="007B0FE3" w:rsidRPr="00F17768">
        <w:rPr>
          <w:szCs w:val="24"/>
        </w:rPr>
        <w:t xml:space="preserve">le Quote </w:t>
      </w:r>
      <w:r w:rsidRPr="00F17768">
        <w:rPr>
          <w:szCs w:val="24"/>
        </w:rPr>
        <w:t>in favore dell’aggiudicatario</w:t>
      </w:r>
      <w:r w:rsidR="00E40484" w:rsidRPr="00F17768">
        <w:rPr>
          <w:szCs w:val="24"/>
        </w:rPr>
        <w:t xml:space="preserve"> definitivo</w:t>
      </w:r>
      <w:r w:rsidRPr="00F17768">
        <w:rPr>
          <w:szCs w:val="24"/>
        </w:rPr>
        <w:t>, sono interamente ed esclusivamente post</w:t>
      </w:r>
      <w:r w:rsidR="007B0FE3" w:rsidRPr="00F17768">
        <w:rPr>
          <w:szCs w:val="24"/>
        </w:rPr>
        <w:t>e</w:t>
      </w:r>
      <w:r w:rsidRPr="00F17768">
        <w:rPr>
          <w:szCs w:val="24"/>
        </w:rPr>
        <w:t xml:space="preserve"> a carico dello stesso aggiudicatario </w:t>
      </w:r>
      <w:r w:rsidR="00E40484" w:rsidRPr="00F17768">
        <w:rPr>
          <w:szCs w:val="24"/>
        </w:rPr>
        <w:t xml:space="preserve">definitivo </w:t>
      </w:r>
      <w:r w:rsidRPr="00F17768">
        <w:rPr>
          <w:szCs w:val="24"/>
        </w:rPr>
        <w:t>e dovranno essere versate da quest’ultimo contestualmente alla sottoscrizione dell’atto di trasferimento del</w:t>
      </w:r>
      <w:r w:rsidR="007B0FE3" w:rsidRPr="00F17768">
        <w:rPr>
          <w:szCs w:val="24"/>
        </w:rPr>
        <w:t>le Quote</w:t>
      </w:r>
      <w:r w:rsidRPr="00F17768">
        <w:rPr>
          <w:szCs w:val="24"/>
        </w:rPr>
        <w:t xml:space="preserve">. </w:t>
      </w:r>
    </w:p>
    <w:p w14:paraId="5634741A" w14:textId="77777777" w:rsidR="00AB559E" w:rsidRPr="00F17768" w:rsidRDefault="00AB559E" w:rsidP="00F17768">
      <w:pPr>
        <w:autoSpaceDE w:val="0"/>
        <w:autoSpaceDN w:val="0"/>
        <w:adjustRightInd w:val="0"/>
        <w:ind w:left="720"/>
        <w:jc w:val="both"/>
        <w:rPr>
          <w:szCs w:val="24"/>
        </w:rPr>
      </w:pPr>
    </w:p>
    <w:p w14:paraId="3556DAE2" w14:textId="4DE2ACAF" w:rsidR="00AB559E" w:rsidRPr="00F17768" w:rsidRDefault="00AB559E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szCs w:val="24"/>
        </w:rPr>
      </w:pPr>
      <w:r w:rsidRPr="00F17768">
        <w:rPr>
          <w:szCs w:val="24"/>
        </w:rPr>
        <w:lastRenderedPageBreak/>
        <w:t xml:space="preserve">In caso di mancato pagamento del Saldo dovuto dall’aggiudicatario </w:t>
      </w:r>
      <w:r w:rsidR="00E40484" w:rsidRPr="00F17768">
        <w:rPr>
          <w:szCs w:val="24"/>
        </w:rPr>
        <w:t xml:space="preserve">definitivo </w:t>
      </w:r>
      <w:r w:rsidR="00734FF8" w:rsidRPr="00F17768">
        <w:rPr>
          <w:szCs w:val="24"/>
        </w:rPr>
        <w:t xml:space="preserve">entro la data di cui al Paragrafo 5.2 che precede </w:t>
      </w:r>
      <w:r w:rsidRPr="00F17768">
        <w:rPr>
          <w:szCs w:val="24"/>
        </w:rPr>
        <w:t>e/o di mancata sottoscrizione dell’atto di trasferimento del</w:t>
      </w:r>
      <w:r w:rsidR="00877F85" w:rsidRPr="00F17768">
        <w:rPr>
          <w:szCs w:val="24"/>
        </w:rPr>
        <w:t>le Quote</w:t>
      </w:r>
      <w:r w:rsidRPr="00F17768">
        <w:rPr>
          <w:szCs w:val="24"/>
        </w:rPr>
        <w:t xml:space="preserve">, l’aggiudicazione </w:t>
      </w:r>
      <w:r w:rsidR="0046511E" w:rsidRPr="00F17768">
        <w:rPr>
          <w:szCs w:val="24"/>
        </w:rPr>
        <w:t>definitiva</w:t>
      </w:r>
      <w:r w:rsidR="00C476DF" w:rsidRPr="00F17768">
        <w:rPr>
          <w:szCs w:val="24"/>
        </w:rPr>
        <w:t xml:space="preserve"> sarà ritenuta decaduta</w:t>
      </w:r>
      <w:r w:rsidR="00E40484" w:rsidRPr="00F17768">
        <w:rPr>
          <w:szCs w:val="24"/>
        </w:rPr>
        <w:t xml:space="preserve"> </w:t>
      </w:r>
      <w:r w:rsidRPr="00F17768">
        <w:rPr>
          <w:szCs w:val="24"/>
        </w:rPr>
        <w:t>e</w:t>
      </w:r>
      <w:r w:rsidR="00C476DF" w:rsidRPr="00F17768">
        <w:rPr>
          <w:szCs w:val="24"/>
        </w:rPr>
        <w:t>d</w:t>
      </w:r>
      <w:r w:rsidRPr="00F17768">
        <w:rPr>
          <w:szCs w:val="24"/>
        </w:rPr>
        <w:t xml:space="preserve"> il Deposito Cauzionale costituito dall’aggiudicatario </w:t>
      </w:r>
      <w:r w:rsidR="00E40484" w:rsidRPr="00F17768">
        <w:rPr>
          <w:szCs w:val="24"/>
        </w:rPr>
        <w:t xml:space="preserve">definitivo </w:t>
      </w:r>
      <w:r w:rsidRPr="00F17768">
        <w:rPr>
          <w:szCs w:val="24"/>
        </w:rPr>
        <w:t>dichiarato decaduto sarà versato da</w:t>
      </w:r>
      <w:r w:rsidR="007151FB" w:rsidRPr="00F17768">
        <w:rPr>
          <w:szCs w:val="24"/>
        </w:rPr>
        <w:t>i</w:t>
      </w:r>
      <w:r w:rsidRPr="00F17768">
        <w:rPr>
          <w:szCs w:val="24"/>
        </w:rPr>
        <w:t xml:space="preserve"> Commissari Giudizial</w:t>
      </w:r>
      <w:r w:rsidR="007151FB" w:rsidRPr="00F17768">
        <w:rPr>
          <w:szCs w:val="24"/>
        </w:rPr>
        <w:t>i</w:t>
      </w:r>
      <w:r w:rsidR="00877F85" w:rsidRPr="00F17768">
        <w:rPr>
          <w:rFonts w:cs="CenturyGothic"/>
          <w:szCs w:val="24"/>
        </w:rPr>
        <w:t xml:space="preserve"> </w:t>
      </w:r>
      <w:r w:rsidRPr="00F17768">
        <w:rPr>
          <w:szCs w:val="24"/>
        </w:rPr>
        <w:t xml:space="preserve">in favore di </w:t>
      </w:r>
      <w:r w:rsidR="00877F85" w:rsidRPr="00F17768">
        <w:rPr>
          <w:szCs w:val="24"/>
        </w:rPr>
        <w:t>Pessina</w:t>
      </w:r>
      <w:r w:rsidRPr="00F17768">
        <w:rPr>
          <w:szCs w:val="24"/>
        </w:rPr>
        <w:t xml:space="preserve">, che lo tratterrà a titolo di penale, salvo il diritto al risarcimento del maggior danno. In tal caso, </w:t>
      </w:r>
      <w:r w:rsidR="00C476DF" w:rsidRPr="00F17768">
        <w:rPr>
          <w:szCs w:val="24"/>
        </w:rPr>
        <w:t>i Commissari Giudiziali</w:t>
      </w:r>
      <w:r w:rsidR="00214856" w:rsidRPr="00F17768">
        <w:rPr>
          <w:szCs w:val="24"/>
        </w:rPr>
        <w:t xml:space="preserve"> </w:t>
      </w:r>
      <w:r w:rsidRPr="00F17768">
        <w:rPr>
          <w:szCs w:val="24"/>
        </w:rPr>
        <w:t>si riserva</w:t>
      </w:r>
      <w:r w:rsidR="00C476DF" w:rsidRPr="00F17768">
        <w:rPr>
          <w:szCs w:val="24"/>
        </w:rPr>
        <w:t>no</w:t>
      </w:r>
      <w:r w:rsidRPr="00F17768">
        <w:rPr>
          <w:szCs w:val="24"/>
        </w:rPr>
        <w:t xml:space="preserve"> di:</w:t>
      </w:r>
    </w:p>
    <w:p w14:paraId="6017EBAA" w14:textId="77777777" w:rsidR="00AB559E" w:rsidRPr="00F17768" w:rsidRDefault="00AB559E" w:rsidP="00F17768">
      <w:pPr>
        <w:pStyle w:val="ListParagraph"/>
        <w:rPr>
          <w:szCs w:val="24"/>
        </w:rPr>
      </w:pPr>
    </w:p>
    <w:p w14:paraId="10B8B140" w14:textId="103048BC" w:rsidR="00AB559E" w:rsidRPr="00F17768" w:rsidRDefault="00AB559E" w:rsidP="00F17768">
      <w:pPr>
        <w:numPr>
          <w:ilvl w:val="0"/>
          <w:numId w:val="37"/>
        </w:numPr>
        <w:autoSpaceDE w:val="0"/>
        <w:autoSpaceDN w:val="0"/>
        <w:adjustRightInd w:val="0"/>
        <w:ind w:left="1134" w:hanging="567"/>
        <w:jc w:val="both"/>
        <w:rPr>
          <w:szCs w:val="24"/>
        </w:rPr>
      </w:pPr>
      <w:r w:rsidRPr="00F17768">
        <w:rPr>
          <w:szCs w:val="24"/>
        </w:rPr>
        <w:t xml:space="preserve">aggiudicare </w:t>
      </w:r>
      <w:r w:rsidR="00E40484" w:rsidRPr="00F17768">
        <w:rPr>
          <w:szCs w:val="24"/>
        </w:rPr>
        <w:t xml:space="preserve">definitivamente </w:t>
      </w:r>
      <w:r w:rsidRPr="00F17768">
        <w:rPr>
          <w:szCs w:val="24"/>
        </w:rPr>
        <w:t xml:space="preserve">la gara, seguendo il procedimento di cui </w:t>
      </w:r>
      <w:r w:rsidR="004C23BD" w:rsidRPr="00F17768">
        <w:rPr>
          <w:szCs w:val="24"/>
        </w:rPr>
        <w:t>all’</w:t>
      </w:r>
      <w:r w:rsidR="00E40484" w:rsidRPr="00F17768">
        <w:rPr>
          <w:szCs w:val="24"/>
        </w:rPr>
        <w:t>A</w:t>
      </w:r>
      <w:r w:rsidRPr="00F17768">
        <w:rPr>
          <w:szCs w:val="24"/>
        </w:rPr>
        <w:t>rticol</w:t>
      </w:r>
      <w:r w:rsidR="004C23BD" w:rsidRPr="00F17768">
        <w:rPr>
          <w:szCs w:val="24"/>
        </w:rPr>
        <w:t xml:space="preserve">o </w:t>
      </w:r>
      <w:r w:rsidR="00E40484" w:rsidRPr="00F17768">
        <w:rPr>
          <w:szCs w:val="24"/>
        </w:rPr>
        <w:t>4</w:t>
      </w:r>
      <w:r w:rsidRPr="00F17768">
        <w:rPr>
          <w:szCs w:val="24"/>
        </w:rPr>
        <w:t>, all</w:t>
      </w:r>
      <w:r w:rsidR="00E40484" w:rsidRPr="00F17768">
        <w:rPr>
          <w:szCs w:val="24"/>
        </w:rPr>
        <w:t>’</w:t>
      </w:r>
      <w:r w:rsidRPr="00F17768">
        <w:rPr>
          <w:szCs w:val="24"/>
        </w:rPr>
        <w:t xml:space="preserve">offerta più alta tra quelle restanti ricevute, se presenti (e così successivamente in caso di ulteriori </w:t>
      </w:r>
      <w:r w:rsidR="00C476DF" w:rsidRPr="00F17768">
        <w:rPr>
          <w:szCs w:val="24"/>
        </w:rPr>
        <w:t xml:space="preserve">decadenze </w:t>
      </w:r>
      <w:r w:rsidRPr="00F17768">
        <w:rPr>
          <w:szCs w:val="24"/>
        </w:rPr>
        <w:t>dell’aggiudicazione</w:t>
      </w:r>
      <w:r w:rsidR="00E40484" w:rsidRPr="00F17768">
        <w:rPr>
          <w:szCs w:val="24"/>
        </w:rPr>
        <w:t xml:space="preserve"> definitiva</w:t>
      </w:r>
      <w:r w:rsidRPr="00F17768">
        <w:rPr>
          <w:szCs w:val="24"/>
        </w:rPr>
        <w:t xml:space="preserve">), fermo restando l’obbligo del nuovo aggiudicatario </w:t>
      </w:r>
      <w:r w:rsidR="00E40484" w:rsidRPr="00F17768">
        <w:rPr>
          <w:szCs w:val="24"/>
        </w:rPr>
        <w:t xml:space="preserve">definitivo </w:t>
      </w:r>
      <w:r w:rsidRPr="00F17768">
        <w:rPr>
          <w:szCs w:val="24"/>
        </w:rPr>
        <w:t xml:space="preserve">di ricostituire il Deposito Cauzionale, entro </w:t>
      </w:r>
      <w:r w:rsidR="00734FF8" w:rsidRPr="00F17768">
        <w:rPr>
          <w:szCs w:val="24"/>
        </w:rPr>
        <w:t xml:space="preserve">e non oltre </w:t>
      </w:r>
      <w:r w:rsidRPr="00F17768">
        <w:rPr>
          <w:szCs w:val="24"/>
        </w:rPr>
        <w:t xml:space="preserve">5 (cinque) giorni dal ricevimento della comunicazione </w:t>
      </w:r>
      <w:r w:rsidR="00734FF8" w:rsidRPr="00F17768">
        <w:rPr>
          <w:szCs w:val="24"/>
        </w:rPr>
        <w:t>della data prevista per l’</w:t>
      </w:r>
      <w:r w:rsidRPr="00F17768">
        <w:rPr>
          <w:szCs w:val="24"/>
        </w:rPr>
        <w:t>aggiudicazione</w:t>
      </w:r>
      <w:r w:rsidR="00E40484" w:rsidRPr="00F17768">
        <w:rPr>
          <w:szCs w:val="24"/>
        </w:rPr>
        <w:t xml:space="preserve"> definitiv</w:t>
      </w:r>
      <w:r w:rsidR="00734FF8" w:rsidRPr="00F17768">
        <w:rPr>
          <w:szCs w:val="24"/>
        </w:rPr>
        <w:t>a</w:t>
      </w:r>
      <w:r w:rsidRPr="00F17768">
        <w:rPr>
          <w:szCs w:val="24"/>
        </w:rPr>
        <w:t xml:space="preserve">; ovvero </w:t>
      </w:r>
    </w:p>
    <w:p w14:paraId="1874AB96" w14:textId="77777777" w:rsidR="00AB559E" w:rsidRPr="00F17768" w:rsidRDefault="00AB559E" w:rsidP="00F17768">
      <w:pPr>
        <w:autoSpaceDE w:val="0"/>
        <w:autoSpaceDN w:val="0"/>
        <w:adjustRightInd w:val="0"/>
        <w:ind w:left="1276" w:hanging="567"/>
        <w:jc w:val="both"/>
        <w:rPr>
          <w:szCs w:val="24"/>
        </w:rPr>
      </w:pPr>
    </w:p>
    <w:p w14:paraId="4EE749F8" w14:textId="693ACD4D" w:rsidR="00AB559E" w:rsidRPr="00F17768" w:rsidRDefault="00AB559E" w:rsidP="00F17768">
      <w:pPr>
        <w:numPr>
          <w:ilvl w:val="0"/>
          <w:numId w:val="37"/>
        </w:numPr>
        <w:autoSpaceDE w:val="0"/>
        <w:autoSpaceDN w:val="0"/>
        <w:adjustRightInd w:val="0"/>
        <w:ind w:left="1134" w:hanging="567"/>
        <w:jc w:val="both"/>
        <w:rPr>
          <w:szCs w:val="24"/>
        </w:rPr>
      </w:pPr>
      <w:r w:rsidRPr="00F17768">
        <w:rPr>
          <w:szCs w:val="24"/>
        </w:rPr>
        <w:t xml:space="preserve">disporre l’apertura di un nuovo procedimento competitivo, fermo restando che, in questo caso, l’aggiudicatario </w:t>
      </w:r>
      <w:r w:rsidR="00E40484" w:rsidRPr="00F17768">
        <w:rPr>
          <w:szCs w:val="24"/>
        </w:rPr>
        <w:t xml:space="preserve">definitivo </w:t>
      </w:r>
      <w:r w:rsidRPr="00F17768">
        <w:rPr>
          <w:szCs w:val="24"/>
        </w:rPr>
        <w:t xml:space="preserve">dichiarato decaduto non potrà partecipare agli eventuali successivi procedimenti competitivi aventi ad oggetto </w:t>
      </w:r>
      <w:r w:rsidR="00877F85" w:rsidRPr="00F17768">
        <w:rPr>
          <w:szCs w:val="24"/>
        </w:rPr>
        <w:t>le Quote</w:t>
      </w:r>
      <w:r w:rsidRPr="00F17768">
        <w:rPr>
          <w:szCs w:val="24"/>
        </w:rPr>
        <w:t>.</w:t>
      </w:r>
    </w:p>
    <w:p w14:paraId="1A0D9CF1" w14:textId="77777777" w:rsidR="00AB559E" w:rsidRPr="00F17768" w:rsidRDefault="00AB559E" w:rsidP="00F17768">
      <w:pPr>
        <w:autoSpaceDE w:val="0"/>
        <w:autoSpaceDN w:val="0"/>
        <w:adjustRightInd w:val="0"/>
        <w:ind w:left="1440"/>
        <w:jc w:val="both"/>
        <w:rPr>
          <w:szCs w:val="24"/>
        </w:rPr>
      </w:pPr>
    </w:p>
    <w:p w14:paraId="214EF456" w14:textId="3E082B18" w:rsidR="00AB559E" w:rsidRDefault="00AB559E" w:rsidP="00D2527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szCs w:val="24"/>
        </w:rPr>
      </w:pPr>
      <w:r w:rsidRPr="00F17768">
        <w:rPr>
          <w:szCs w:val="24"/>
        </w:rPr>
        <w:t>In caso di mancata sottoscrizione dell’atto di trasferimento del</w:t>
      </w:r>
      <w:r w:rsidR="00877F85" w:rsidRPr="00F17768">
        <w:rPr>
          <w:szCs w:val="24"/>
        </w:rPr>
        <w:t>le Quote</w:t>
      </w:r>
      <w:r w:rsidR="00F42F8D" w:rsidRPr="00F17768">
        <w:rPr>
          <w:szCs w:val="24"/>
        </w:rPr>
        <w:t xml:space="preserve"> per determinazioni del procedimento concorsuale</w:t>
      </w:r>
      <w:r w:rsidRPr="00F17768">
        <w:rPr>
          <w:szCs w:val="24"/>
        </w:rPr>
        <w:t>,</w:t>
      </w:r>
      <w:r w:rsidR="00D25278">
        <w:rPr>
          <w:szCs w:val="24"/>
        </w:rPr>
        <w:t xml:space="preserve"> </w:t>
      </w:r>
      <w:r w:rsidRPr="00F17768">
        <w:rPr>
          <w:szCs w:val="24"/>
        </w:rPr>
        <w:t xml:space="preserve">il Deposito Cauzionale costituito dall’aggiudicatario </w:t>
      </w:r>
      <w:r w:rsidR="00E40484" w:rsidRPr="00F17768">
        <w:rPr>
          <w:szCs w:val="24"/>
        </w:rPr>
        <w:t xml:space="preserve">definitivo </w:t>
      </w:r>
      <w:r w:rsidRPr="00F17768">
        <w:rPr>
          <w:szCs w:val="24"/>
        </w:rPr>
        <w:t>sarà restituito da</w:t>
      </w:r>
      <w:r w:rsidR="007151FB" w:rsidRPr="00F17768">
        <w:rPr>
          <w:szCs w:val="24"/>
        </w:rPr>
        <w:t>i</w:t>
      </w:r>
      <w:r w:rsidRPr="00F17768">
        <w:rPr>
          <w:szCs w:val="24"/>
        </w:rPr>
        <w:t xml:space="preserve"> Commissari Giudizial</w:t>
      </w:r>
      <w:r w:rsidR="007151FB" w:rsidRPr="00F17768">
        <w:rPr>
          <w:szCs w:val="24"/>
        </w:rPr>
        <w:t>i</w:t>
      </w:r>
      <w:r w:rsidR="00483B53" w:rsidRPr="00F17768">
        <w:rPr>
          <w:szCs w:val="24"/>
        </w:rPr>
        <w:t xml:space="preserve"> </w:t>
      </w:r>
      <w:r w:rsidRPr="00F17768">
        <w:rPr>
          <w:szCs w:val="24"/>
        </w:rPr>
        <w:t>in favore dell’aggiudicatario</w:t>
      </w:r>
      <w:r w:rsidR="00E40484" w:rsidRPr="00F17768">
        <w:rPr>
          <w:szCs w:val="24"/>
        </w:rPr>
        <w:t xml:space="preserve"> definitivo</w:t>
      </w:r>
    </w:p>
    <w:p w14:paraId="26DF6B7E" w14:textId="77777777" w:rsidR="00B04B42" w:rsidRPr="00F17768" w:rsidRDefault="00B04B42" w:rsidP="00845C51">
      <w:pPr>
        <w:autoSpaceDE w:val="0"/>
        <w:autoSpaceDN w:val="0"/>
        <w:adjustRightInd w:val="0"/>
        <w:ind w:left="720"/>
        <w:jc w:val="both"/>
        <w:rPr>
          <w:szCs w:val="24"/>
        </w:rPr>
      </w:pPr>
    </w:p>
    <w:p w14:paraId="6D004668" w14:textId="682FF832" w:rsidR="00AB559E" w:rsidRPr="00F17768" w:rsidRDefault="00AB559E" w:rsidP="00845C51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567" w:hanging="567"/>
        <w:contextualSpacing w:val="0"/>
        <w:jc w:val="both"/>
        <w:rPr>
          <w:rFonts w:cs="CenturyGothic-Bold"/>
          <w:b/>
          <w:bCs/>
          <w:smallCaps/>
          <w:szCs w:val="24"/>
        </w:rPr>
      </w:pPr>
      <w:r w:rsidRPr="00F17768">
        <w:rPr>
          <w:rFonts w:cs="CenturyGothic-Bold"/>
          <w:b/>
          <w:bCs/>
          <w:smallCaps/>
          <w:szCs w:val="24"/>
        </w:rPr>
        <w:t>Richieste di chiarimenti e/o informazioni</w:t>
      </w:r>
    </w:p>
    <w:p w14:paraId="3E99E257" w14:textId="77777777" w:rsidR="00AB559E" w:rsidRPr="00F17768" w:rsidRDefault="00AB559E" w:rsidP="00F17768">
      <w:pPr>
        <w:autoSpaceDE w:val="0"/>
        <w:autoSpaceDN w:val="0"/>
        <w:adjustRightInd w:val="0"/>
        <w:jc w:val="both"/>
        <w:rPr>
          <w:rFonts w:cs="CenturyGothic"/>
          <w:szCs w:val="24"/>
        </w:rPr>
      </w:pPr>
    </w:p>
    <w:p w14:paraId="5501020E" w14:textId="78E66302" w:rsidR="00840995" w:rsidRPr="00F17768" w:rsidRDefault="00AB559E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rFonts w:cs="CenturyGothic"/>
          <w:szCs w:val="24"/>
        </w:rPr>
      </w:pPr>
      <w:r w:rsidRPr="00F17768">
        <w:rPr>
          <w:rFonts w:cs="CenturyGothic"/>
          <w:szCs w:val="24"/>
        </w:rPr>
        <w:t xml:space="preserve">Qualora desiderino ricevere chiarimenti e/o informazioni e/o documenti in relazione al presente avviso, i soggetti interessati </w:t>
      </w:r>
      <w:r w:rsidR="00E40484" w:rsidRPr="00F17768">
        <w:rPr>
          <w:rFonts w:cs="CenturyGothic"/>
          <w:szCs w:val="24"/>
        </w:rPr>
        <w:t xml:space="preserve">e legittimati a partecipare al </w:t>
      </w:r>
      <w:r w:rsidR="0046511E" w:rsidRPr="00F17768">
        <w:rPr>
          <w:szCs w:val="24"/>
        </w:rPr>
        <w:t xml:space="preserve">procedimento </w:t>
      </w:r>
      <w:r w:rsidR="0046511E" w:rsidRPr="00D25278">
        <w:rPr>
          <w:szCs w:val="24"/>
        </w:rPr>
        <w:t xml:space="preserve">competitivo di cui al </w:t>
      </w:r>
      <w:r w:rsidR="00C476DF" w:rsidRPr="00D25278">
        <w:rPr>
          <w:szCs w:val="24"/>
        </w:rPr>
        <w:t>precedente</w:t>
      </w:r>
      <w:r w:rsidR="0046511E" w:rsidRPr="00D25278">
        <w:rPr>
          <w:szCs w:val="24"/>
        </w:rPr>
        <w:t xml:space="preserve"> Articolo 4, </w:t>
      </w:r>
      <w:r w:rsidRPr="00D25278">
        <w:rPr>
          <w:rFonts w:cs="CenturyGothic"/>
          <w:szCs w:val="24"/>
        </w:rPr>
        <w:t>potranno richiederli inviando apposita comunicazione in lingua italiana alla Società, esclusivamente a mezzo posta elettronica certificata, a</w:t>
      </w:r>
      <w:r w:rsidR="00734FF8" w:rsidRPr="00D25278">
        <w:rPr>
          <w:rFonts w:cs="CenturyGothic"/>
          <w:szCs w:val="24"/>
        </w:rPr>
        <w:t>i</w:t>
      </w:r>
      <w:r w:rsidRPr="00D25278">
        <w:rPr>
          <w:rFonts w:cs="CenturyGothic"/>
          <w:szCs w:val="24"/>
        </w:rPr>
        <w:t xml:space="preserve"> seguent</w:t>
      </w:r>
      <w:r w:rsidR="00734FF8" w:rsidRPr="00D25278">
        <w:rPr>
          <w:rFonts w:cs="CenturyGothic"/>
          <w:szCs w:val="24"/>
        </w:rPr>
        <w:t>i</w:t>
      </w:r>
      <w:r w:rsidRPr="00D25278">
        <w:rPr>
          <w:rFonts w:cs="CenturyGothic"/>
          <w:szCs w:val="24"/>
        </w:rPr>
        <w:t xml:space="preserve"> indirizz</w:t>
      </w:r>
      <w:r w:rsidR="00734FF8" w:rsidRPr="00D25278">
        <w:rPr>
          <w:rFonts w:cs="CenturyGothic"/>
          <w:szCs w:val="24"/>
        </w:rPr>
        <w:t>i</w:t>
      </w:r>
      <w:r w:rsidRPr="00D25278">
        <w:rPr>
          <w:rFonts w:cs="CenturyGothic"/>
          <w:szCs w:val="24"/>
        </w:rPr>
        <w:t xml:space="preserve">: </w:t>
      </w:r>
      <w:bookmarkStart w:id="6" w:name="_Hlk21079537"/>
      <w:r w:rsidR="00840995" w:rsidRPr="00D25278">
        <w:rPr>
          <w:szCs w:val="24"/>
        </w:rPr>
        <w:fldChar w:fldCharType="begin"/>
      </w:r>
      <w:r w:rsidR="00840995" w:rsidRPr="00D25278">
        <w:rPr>
          <w:szCs w:val="24"/>
        </w:rPr>
        <w:instrText xml:space="preserve"> HYPERLINK "mailto:direzione_impresapessina@pec.it" </w:instrText>
      </w:r>
      <w:r w:rsidR="00840995" w:rsidRPr="00D25278">
        <w:rPr>
          <w:szCs w:val="24"/>
        </w:rPr>
        <w:fldChar w:fldCharType="separate"/>
      </w:r>
      <w:r w:rsidR="00840995" w:rsidRPr="00D25278">
        <w:rPr>
          <w:rStyle w:val="Hyperlink"/>
          <w:szCs w:val="24"/>
        </w:rPr>
        <w:t>direzione_impresapessina@pec.it</w:t>
      </w:r>
      <w:bookmarkEnd w:id="6"/>
      <w:r w:rsidR="00840995" w:rsidRPr="00D25278">
        <w:rPr>
          <w:szCs w:val="24"/>
        </w:rPr>
        <w:fldChar w:fldCharType="end"/>
      </w:r>
      <w:r w:rsidR="008B3DCD" w:rsidRPr="00D25278">
        <w:rPr>
          <w:szCs w:val="24"/>
        </w:rPr>
        <w:t>,</w:t>
      </w:r>
      <w:r w:rsidR="00840995" w:rsidRPr="00D25278">
        <w:rPr>
          <w:szCs w:val="24"/>
        </w:rPr>
        <w:t xml:space="preserve"> nonché all’indirizzo </w:t>
      </w:r>
      <w:proofErr w:type="spellStart"/>
      <w:r w:rsidR="00840995" w:rsidRPr="00D25278">
        <w:rPr>
          <w:szCs w:val="24"/>
        </w:rPr>
        <w:t>pec</w:t>
      </w:r>
      <w:proofErr w:type="spellEnd"/>
      <w:r w:rsidR="00840995" w:rsidRPr="00D25278">
        <w:rPr>
          <w:szCs w:val="24"/>
        </w:rPr>
        <w:t xml:space="preserve"> </w:t>
      </w:r>
      <w:hyperlink r:id="rId12" w:history="1">
        <w:r w:rsidR="00D25278" w:rsidRPr="00D25278">
          <w:rPr>
            <w:rStyle w:val="Hyperlink"/>
            <w:szCs w:val="24"/>
          </w:rPr>
          <w:t>pierdaniloadriano.beltrami@milano.pecavvocati.it</w:t>
        </w:r>
      </w:hyperlink>
      <w:r w:rsidR="00D25278" w:rsidRPr="00D25278">
        <w:rPr>
          <w:szCs w:val="24"/>
        </w:rPr>
        <w:t xml:space="preserve"> </w:t>
      </w:r>
      <w:r w:rsidR="00840995" w:rsidRPr="00D25278">
        <w:rPr>
          <w:szCs w:val="24"/>
        </w:rPr>
        <w:t>dello studio legale Bonelli Erede</w:t>
      </w:r>
      <w:r w:rsidR="00D25278">
        <w:rPr>
          <w:szCs w:val="24"/>
        </w:rPr>
        <w:t>,</w:t>
      </w:r>
      <w:r w:rsidR="008B3DCD" w:rsidRPr="00D25278">
        <w:rPr>
          <w:szCs w:val="24"/>
        </w:rPr>
        <w:t xml:space="preserve"> </w:t>
      </w:r>
      <w:r w:rsidRPr="00D25278">
        <w:rPr>
          <w:rFonts w:cs="CenturyGothic"/>
          <w:szCs w:val="24"/>
        </w:rPr>
        <w:t>indicando quale oggetto “</w:t>
      </w:r>
      <w:bookmarkStart w:id="7" w:name="_Hlk21079582"/>
      <w:r w:rsidR="008B3DCD" w:rsidRPr="00D25278">
        <w:rPr>
          <w:b/>
          <w:i/>
          <w:szCs w:val="24"/>
        </w:rPr>
        <w:t xml:space="preserve">Offerte di acquisto Quote Fondo J. </w:t>
      </w:r>
      <w:proofErr w:type="spellStart"/>
      <w:r w:rsidR="008B3DCD" w:rsidRPr="00D25278">
        <w:rPr>
          <w:b/>
          <w:i/>
          <w:szCs w:val="24"/>
        </w:rPr>
        <w:t>Village</w:t>
      </w:r>
      <w:bookmarkEnd w:id="7"/>
      <w:proofErr w:type="spellEnd"/>
      <w:r w:rsidRPr="00D25278">
        <w:rPr>
          <w:rFonts w:cs="CenturyGothic"/>
          <w:szCs w:val="24"/>
        </w:rPr>
        <w:t>”</w:t>
      </w:r>
      <w:r w:rsidR="00840995" w:rsidRPr="00D25278">
        <w:rPr>
          <w:rFonts w:cs="CenturyGothic"/>
          <w:szCs w:val="24"/>
        </w:rPr>
        <w:t>, met</w:t>
      </w:r>
      <w:r w:rsidR="00840995" w:rsidRPr="00F17768">
        <w:rPr>
          <w:rFonts w:cs="CenturyGothic"/>
          <w:szCs w:val="24"/>
        </w:rPr>
        <w:t xml:space="preserve">tendo in copia i Commissari Giudiziali, agli indirizzi </w:t>
      </w:r>
      <w:hyperlink r:id="rId13" w:history="1">
        <w:r w:rsidR="00840995" w:rsidRPr="00F17768">
          <w:rPr>
            <w:rStyle w:val="Hyperlink"/>
            <w:szCs w:val="24"/>
          </w:rPr>
          <w:t>alfredo.haupt@odcecmilano.it</w:t>
        </w:r>
      </w:hyperlink>
      <w:r w:rsidR="00840995" w:rsidRPr="00845C51">
        <w:rPr>
          <w:szCs w:val="24"/>
        </w:rPr>
        <w:t xml:space="preserve"> e </w:t>
      </w:r>
      <w:hyperlink r:id="rId14" w:history="1">
        <w:r w:rsidR="00840995" w:rsidRPr="00F17768">
          <w:rPr>
            <w:rStyle w:val="Hyperlink"/>
            <w:szCs w:val="24"/>
          </w:rPr>
          <w:t>paola.pagini@milano.pecavvocati.it</w:t>
        </w:r>
      </w:hyperlink>
      <w:r w:rsidR="00840995" w:rsidRPr="00845C51">
        <w:rPr>
          <w:szCs w:val="24"/>
        </w:rPr>
        <w:t>.</w:t>
      </w:r>
    </w:p>
    <w:p w14:paraId="308D0670" w14:textId="6CEC90FF" w:rsidR="00AB559E" w:rsidRPr="000B3AB4" w:rsidRDefault="00AB559E" w:rsidP="000B3AB4">
      <w:pPr>
        <w:autoSpaceDE w:val="0"/>
        <w:autoSpaceDN w:val="0"/>
        <w:adjustRightInd w:val="0"/>
        <w:jc w:val="both"/>
        <w:rPr>
          <w:rFonts w:cs="CenturyGothic"/>
          <w:szCs w:val="24"/>
        </w:rPr>
      </w:pPr>
    </w:p>
    <w:p w14:paraId="0EB45844" w14:textId="79D34F0B" w:rsidR="00AB559E" w:rsidRPr="00F17768" w:rsidRDefault="00AB559E" w:rsidP="00F17768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567" w:hanging="567"/>
        <w:contextualSpacing w:val="0"/>
        <w:jc w:val="both"/>
        <w:rPr>
          <w:rFonts w:cs="CenturyGothic-Bold"/>
          <w:b/>
          <w:bCs/>
          <w:smallCaps/>
          <w:szCs w:val="24"/>
        </w:rPr>
      </w:pPr>
      <w:r w:rsidRPr="00F17768">
        <w:rPr>
          <w:rFonts w:cs="CenturyGothic-Bold"/>
          <w:b/>
          <w:bCs/>
          <w:smallCaps/>
          <w:szCs w:val="24"/>
        </w:rPr>
        <w:t>Ulteriori disposizioni</w:t>
      </w:r>
    </w:p>
    <w:p w14:paraId="37AAD729" w14:textId="77777777" w:rsidR="00AB559E" w:rsidRPr="00F17768" w:rsidRDefault="00AB559E" w:rsidP="00F17768">
      <w:pPr>
        <w:autoSpaceDE w:val="0"/>
        <w:autoSpaceDN w:val="0"/>
        <w:adjustRightInd w:val="0"/>
        <w:jc w:val="both"/>
        <w:rPr>
          <w:rFonts w:cs="CenturyGothic-Bold"/>
          <w:b/>
          <w:bCs/>
          <w:szCs w:val="24"/>
        </w:rPr>
      </w:pPr>
    </w:p>
    <w:p w14:paraId="300D0B0D" w14:textId="441BB117" w:rsidR="00AB559E" w:rsidRPr="00F17768" w:rsidRDefault="00AB559E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rFonts w:cs="CenturyGothic"/>
          <w:szCs w:val="24"/>
        </w:rPr>
      </w:pPr>
      <w:r w:rsidRPr="00F17768">
        <w:rPr>
          <w:szCs w:val="24"/>
        </w:rPr>
        <w:t>L’aggiudicazione non determinerà per l’aggiudicatario alcun affidamento, né alcun diritto al risarcimento danni in caso di mancata stipulazione del</w:t>
      </w:r>
      <w:r w:rsidR="00734FF8" w:rsidRPr="00F17768">
        <w:rPr>
          <w:szCs w:val="24"/>
        </w:rPr>
        <w:t>l’atto</w:t>
      </w:r>
      <w:r w:rsidRPr="00F17768">
        <w:rPr>
          <w:szCs w:val="24"/>
        </w:rPr>
        <w:t xml:space="preserve"> di </w:t>
      </w:r>
      <w:r w:rsidR="00734FF8" w:rsidRPr="00F17768">
        <w:rPr>
          <w:szCs w:val="24"/>
        </w:rPr>
        <w:t xml:space="preserve">trasferimento </w:t>
      </w:r>
      <w:r w:rsidRPr="00F17768">
        <w:rPr>
          <w:szCs w:val="24"/>
        </w:rPr>
        <w:t xml:space="preserve"> per </w:t>
      </w:r>
      <w:r w:rsidR="00C476DF" w:rsidRPr="00F17768">
        <w:rPr>
          <w:szCs w:val="24"/>
        </w:rPr>
        <w:t>determinazioni del cedente, ovvero della relativa procedura</w:t>
      </w:r>
      <w:r w:rsidRPr="00F17768">
        <w:rPr>
          <w:szCs w:val="24"/>
        </w:rPr>
        <w:t xml:space="preserve">. Inoltre resta salva la possibilità per il Tribunale, di sospendere il procedimento competitivo o di non autorizzare </w:t>
      </w:r>
      <w:r w:rsidR="00C93EA2" w:rsidRPr="00F17768">
        <w:rPr>
          <w:szCs w:val="24"/>
        </w:rPr>
        <w:t xml:space="preserve">il trasferimento </w:t>
      </w:r>
      <w:r w:rsidRPr="00F17768">
        <w:rPr>
          <w:szCs w:val="24"/>
        </w:rPr>
        <w:t>per i motivi di cui all’art</w:t>
      </w:r>
      <w:r w:rsidR="00901A89" w:rsidRPr="00F17768">
        <w:rPr>
          <w:szCs w:val="24"/>
        </w:rPr>
        <w:t>t</w:t>
      </w:r>
      <w:r w:rsidRPr="00F17768">
        <w:rPr>
          <w:szCs w:val="24"/>
        </w:rPr>
        <w:t>. 108</w:t>
      </w:r>
      <w:r w:rsidR="00901A89" w:rsidRPr="00F17768">
        <w:rPr>
          <w:szCs w:val="24"/>
        </w:rPr>
        <w:t>, 182</w:t>
      </w:r>
      <w:r w:rsidRPr="00F17768">
        <w:rPr>
          <w:szCs w:val="24"/>
        </w:rPr>
        <w:t xml:space="preserve"> L.F.</w:t>
      </w:r>
    </w:p>
    <w:p w14:paraId="7F6DAC50" w14:textId="77777777" w:rsidR="00AB559E" w:rsidRPr="00F17768" w:rsidRDefault="00AB559E" w:rsidP="00F17768">
      <w:pPr>
        <w:autoSpaceDE w:val="0"/>
        <w:autoSpaceDN w:val="0"/>
        <w:adjustRightInd w:val="0"/>
        <w:ind w:left="720"/>
        <w:jc w:val="both"/>
        <w:rPr>
          <w:rFonts w:cs="CenturyGothic"/>
          <w:szCs w:val="24"/>
        </w:rPr>
      </w:pPr>
    </w:p>
    <w:p w14:paraId="73C5F45E" w14:textId="77777777" w:rsidR="00635DF9" w:rsidRPr="00F17768" w:rsidRDefault="00AB559E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rFonts w:cs="CenturyGothic"/>
          <w:szCs w:val="24"/>
        </w:rPr>
      </w:pPr>
      <w:r w:rsidRPr="00F17768">
        <w:rPr>
          <w:rFonts w:cs="CenturyGothic"/>
          <w:szCs w:val="24"/>
        </w:rPr>
        <w:t xml:space="preserve">Un estratto </w:t>
      </w:r>
      <w:r w:rsidRPr="00F17768">
        <w:rPr>
          <w:szCs w:val="24"/>
        </w:rPr>
        <w:t>del</w:t>
      </w:r>
      <w:r w:rsidRPr="00F17768">
        <w:rPr>
          <w:rFonts w:cs="CenturyGothic"/>
          <w:szCs w:val="24"/>
        </w:rPr>
        <w:t xml:space="preserve"> </w:t>
      </w:r>
      <w:r w:rsidRPr="00F17768">
        <w:rPr>
          <w:szCs w:val="24"/>
        </w:rPr>
        <w:t>presente</w:t>
      </w:r>
      <w:r w:rsidRPr="00F17768">
        <w:rPr>
          <w:rFonts w:cs="CenturyGothic"/>
          <w:szCs w:val="24"/>
        </w:rPr>
        <w:t xml:space="preserve"> avviso è pubblicato su</w:t>
      </w:r>
      <w:r w:rsidR="00635DF9" w:rsidRPr="00F17768">
        <w:rPr>
          <w:rFonts w:cs="CenturyGothic"/>
          <w:szCs w:val="24"/>
        </w:rPr>
        <w:t xml:space="preserve">: </w:t>
      </w:r>
    </w:p>
    <w:p w14:paraId="0C3CB303" w14:textId="77777777" w:rsidR="00635DF9" w:rsidRPr="00F17768" w:rsidRDefault="00635DF9" w:rsidP="00F17768">
      <w:pPr>
        <w:pStyle w:val="ListParagraph"/>
        <w:rPr>
          <w:rFonts w:cs="CenturyGothic"/>
          <w:i/>
          <w:szCs w:val="24"/>
        </w:rPr>
      </w:pPr>
    </w:p>
    <w:p w14:paraId="7EEA474A" w14:textId="79A0E879" w:rsidR="00635DF9" w:rsidRPr="00F17768" w:rsidRDefault="00635DF9" w:rsidP="00F17768">
      <w:pPr>
        <w:numPr>
          <w:ilvl w:val="0"/>
          <w:numId w:val="49"/>
        </w:numPr>
        <w:autoSpaceDE w:val="0"/>
        <w:autoSpaceDN w:val="0"/>
        <w:adjustRightInd w:val="0"/>
        <w:ind w:left="1134" w:hanging="567"/>
        <w:jc w:val="both"/>
        <w:rPr>
          <w:rFonts w:cs="CenturyGothic"/>
          <w:szCs w:val="24"/>
        </w:rPr>
      </w:pPr>
      <w:r w:rsidRPr="00F17768">
        <w:rPr>
          <w:szCs w:val="24"/>
        </w:rPr>
        <w:t>il portale delle vendite pubbliche (</w:t>
      </w:r>
      <w:hyperlink r:id="rId15" w:history="1">
        <w:r w:rsidRPr="00F17768">
          <w:rPr>
            <w:rStyle w:val="Hyperlink"/>
          </w:rPr>
          <w:t>https://venditepubbliche.giustizia.it/pvp/</w:t>
        </w:r>
      </w:hyperlink>
      <w:r w:rsidRPr="00845C51">
        <w:t>)</w:t>
      </w:r>
      <w:r w:rsidRPr="00F17768">
        <w:rPr>
          <w:szCs w:val="24"/>
        </w:rPr>
        <w:t>;</w:t>
      </w:r>
    </w:p>
    <w:p w14:paraId="0B3110A5" w14:textId="77777777" w:rsidR="00FD03E1" w:rsidRPr="00F17768" w:rsidRDefault="00FD03E1" w:rsidP="00F17768">
      <w:pPr>
        <w:autoSpaceDE w:val="0"/>
        <w:autoSpaceDN w:val="0"/>
        <w:adjustRightInd w:val="0"/>
        <w:ind w:left="1134"/>
        <w:jc w:val="both"/>
        <w:rPr>
          <w:rFonts w:cs="CenturyGothic"/>
          <w:szCs w:val="24"/>
        </w:rPr>
      </w:pPr>
    </w:p>
    <w:p w14:paraId="20481199" w14:textId="13719E5D" w:rsidR="00635DF9" w:rsidRPr="00F17768" w:rsidRDefault="008A5DE8" w:rsidP="00F17768">
      <w:pPr>
        <w:numPr>
          <w:ilvl w:val="0"/>
          <w:numId w:val="49"/>
        </w:numPr>
        <w:autoSpaceDE w:val="0"/>
        <w:autoSpaceDN w:val="0"/>
        <w:adjustRightInd w:val="0"/>
        <w:ind w:left="1134" w:hanging="567"/>
        <w:jc w:val="both"/>
        <w:rPr>
          <w:rFonts w:cs="CenturyGothic"/>
          <w:szCs w:val="24"/>
        </w:rPr>
      </w:pPr>
      <w:hyperlink r:id="rId16" w:history="1">
        <w:r w:rsidR="00FD03E1" w:rsidRPr="00F17768">
          <w:rPr>
            <w:rStyle w:val="Hyperlink"/>
            <w:rFonts w:cs="CenturyGothic"/>
            <w:szCs w:val="24"/>
          </w:rPr>
          <w:t>www.astegiudiziarie.it</w:t>
        </w:r>
      </w:hyperlink>
      <w:r w:rsidR="00C07596" w:rsidRPr="00845C51">
        <w:rPr>
          <w:rFonts w:cs="CenturyGothic"/>
          <w:szCs w:val="24"/>
        </w:rPr>
        <w:t>, gestito da Aste Gi</w:t>
      </w:r>
      <w:r w:rsidR="00C07596" w:rsidRPr="00F17768">
        <w:rPr>
          <w:rFonts w:cs="CenturyGothic"/>
          <w:szCs w:val="24"/>
        </w:rPr>
        <w:t>udiziarie Inlinea S.p.A.;</w:t>
      </w:r>
    </w:p>
    <w:p w14:paraId="6E9AAEFA" w14:textId="77777777" w:rsidR="00FD03E1" w:rsidRPr="00F17768" w:rsidRDefault="00FD03E1" w:rsidP="00F17768">
      <w:pPr>
        <w:autoSpaceDE w:val="0"/>
        <w:autoSpaceDN w:val="0"/>
        <w:adjustRightInd w:val="0"/>
        <w:ind w:left="1134"/>
        <w:jc w:val="both"/>
        <w:rPr>
          <w:rFonts w:cs="CenturyGothic"/>
          <w:szCs w:val="24"/>
        </w:rPr>
      </w:pPr>
    </w:p>
    <w:p w14:paraId="0044DE1F" w14:textId="5A52FF70" w:rsidR="00C07596" w:rsidRPr="00F17768" w:rsidRDefault="008A5DE8" w:rsidP="00F17768">
      <w:pPr>
        <w:numPr>
          <w:ilvl w:val="0"/>
          <w:numId w:val="49"/>
        </w:numPr>
        <w:autoSpaceDE w:val="0"/>
        <w:autoSpaceDN w:val="0"/>
        <w:adjustRightInd w:val="0"/>
        <w:ind w:left="1134" w:hanging="567"/>
        <w:jc w:val="both"/>
        <w:rPr>
          <w:rFonts w:cs="CenturyGothic"/>
          <w:szCs w:val="24"/>
        </w:rPr>
      </w:pPr>
      <w:hyperlink r:id="rId17" w:history="1">
        <w:r w:rsidR="00FD03E1" w:rsidRPr="00F17768">
          <w:rPr>
            <w:rStyle w:val="Hyperlink"/>
            <w:rFonts w:cs="CenturyGothic"/>
            <w:szCs w:val="24"/>
          </w:rPr>
          <w:t>www.portalecreditori.it</w:t>
        </w:r>
      </w:hyperlink>
      <w:r w:rsidR="00C07596" w:rsidRPr="00845C51">
        <w:rPr>
          <w:rFonts w:cs="CenturyGothic"/>
          <w:szCs w:val="24"/>
        </w:rPr>
        <w:t>, gestito da Zucchetti Software Giuridico S.r.l.;</w:t>
      </w:r>
    </w:p>
    <w:p w14:paraId="4DFC369A" w14:textId="77777777" w:rsidR="00FD03E1" w:rsidRPr="00F17768" w:rsidRDefault="00FD03E1" w:rsidP="00F17768">
      <w:pPr>
        <w:autoSpaceDE w:val="0"/>
        <w:autoSpaceDN w:val="0"/>
        <w:adjustRightInd w:val="0"/>
        <w:ind w:left="1134"/>
        <w:jc w:val="both"/>
        <w:rPr>
          <w:rFonts w:cs="CenturyGothic"/>
          <w:szCs w:val="24"/>
        </w:rPr>
      </w:pPr>
    </w:p>
    <w:p w14:paraId="2D787AEA" w14:textId="3D1E49A6" w:rsidR="00AB559E" w:rsidRPr="00F17768" w:rsidRDefault="00AB559E" w:rsidP="00F17768">
      <w:pPr>
        <w:numPr>
          <w:ilvl w:val="0"/>
          <w:numId w:val="49"/>
        </w:numPr>
        <w:autoSpaceDE w:val="0"/>
        <w:autoSpaceDN w:val="0"/>
        <w:adjustRightInd w:val="0"/>
        <w:ind w:left="1134" w:hanging="567"/>
        <w:jc w:val="both"/>
        <w:rPr>
          <w:rFonts w:cs="CenturyGothic"/>
          <w:szCs w:val="24"/>
        </w:rPr>
      </w:pPr>
      <w:r w:rsidRPr="00F17768">
        <w:rPr>
          <w:rFonts w:cs="CenturyGothic"/>
          <w:szCs w:val="24"/>
        </w:rPr>
        <w:t>sui quotidiani “Il Sole 24 ore – edizione nazionale” e “Corriere della Sera – edizione nazionale”</w:t>
      </w:r>
      <w:r w:rsidR="00635DF9" w:rsidRPr="00F17768">
        <w:rPr>
          <w:rFonts w:cs="CenturyGothic"/>
          <w:szCs w:val="24"/>
        </w:rPr>
        <w:t>;</w:t>
      </w:r>
    </w:p>
    <w:p w14:paraId="3A7C4895" w14:textId="77777777" w:rsidR="00635DF9" w:rsidRPr="00F17768" w:rsidRDefault="00635DF9" w:rsidP="00F17768">
      <w:pPr>
        <w:autoSpaceDE w:val="0"/>
        <w:autoSpaceDN w:val="0"/>
        <w:adjustRightInd w:val="0"/>
        <w:ind w:left="567"/>
        <w:jc w:val="both"/>
        <w:rPr>
          <w:rFonts w:cs="CenturyGothic"/>
          <w:szCs w:val="24"/>
        </w:rPr>
      </w:pPr>
    </w:p>
    <w:p w14:paraId="060AAA00" w14:textId="0934DFD4" w:rsidR="00635DF9" w:rsidRPr="00F17768" w:rsidRDefault="00635DF9" w:rsidP="00F17768">
      <w:pPr>
        <w:autoSpaceDE w:val="0"/>
        <w:autoSpaceDN w:val="0"/>
        <w:adjustRightInd w:val="0"/>
        <w:ind w:left="567"/>
        <w:jc w:val="both"/>
        <w:rPr>
          <w:rFonts w:cs="CenturyGothic"/>
          <w:szCs w:val="24"/>
        </w:rPr>
      </w:pPr>
      <w:r w:rsidRPr="00F17768">
        <w:rPr>
          <w:rFonts w:cs="CenturyGothic"/>
          <w:szCs w:val="24"/>
        </w:rPr>
        <w:t>ed è notificato al creditore pignoratizio.</w:t>
      </w:r>
    </w:p>
    <w:p w14:paraId="7DC2BA12" w14:textId="77777777" w:rsidR="0046511E" w:rsidRPr="00F17768" w:rsidRDefault="0046511E" w:rsidP="00F17768">
      <w:pPr>
        <w:pStyle w:val="ListParagraph"/>
        <w:rPr>
          <w:rFonts w:cs="CenturyGothic"/>
          <w:szCs w:val="24"/>
        </w:rPr>
      </w:pPr>
    </w:p>
    <w:p w14:paraId="3499B6C6" w14:textId="45A3E5A4" w:rsidR="0046511E" w:rsidRPr="00F17768" w:rsidRDefault="0046511E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rFonts w:cs="CenturyGothic"/>
          <w:szCs w:val="24"/>
        </w:rPr>
      </w:pPr>
      <w:r w:rsidRPr="00F17768">
        <w:rPr>
          <w:rFonts w:eastAsia="Times New Roman"/>
          <w:iCs/>
        </w:rPr>
        <w:t>La vendita competitiva di cui al presente avviso avrà gli effetti purgativi di una vendita forzata ai sensi degli articoli 105 e ss.</w:t>
      </w:r>
      <w:r w:rsidR="00901A89" w:rsidRPr="00F17768">
        <w:rPr>
          <w:rFonts w:eastAsia="Times New Roman"/>
          <w:iCs/>
        </w:rPr>
        <w:t>, 182</w:t>
      </w:r>
      <w:r w:rsidRPr="00F17768">
        <w:rPr>
          <w:rFonts w:eastAsia="Times New Roman"/>
          <w:iCs/>
        </w:rPr>
        <w:t xml:space="preserve"> L.F. e, per l’effetto, all’esito del procedimento competitivo descritto nell’Articolo 4, le Quote saranno </w:t>
      </w:r>
      <w:r w:rsidR="00616FEF" w:rsidRPr="00F17768">
        <w:rPr>
          <w:rFonts w:eastAsia="Times New Roman"/>
          <w:iCs/>
        </w:rPr>
        <w:t xml:space="preserve">traferite </w:t>
      </w:r>
      <w:r w:rsidRPr="00F17768">
        <w:rPr>
          <w:rFonts w:eastAsia="Times New Roman"/>
          <w:iCs/>
        </w:rPr>
        <w:t xml:space="preserve">all’aggiudicatario definitivo libere da </w:t>
      </w:r>
      <w:r w:rsidR="00A44FA2" w:rsidRPr="00F17768">
        <w:rPr>
          <w:rFonts w:eastAsia="Times New Roman"/>
          <w:iCs/>
        </w:rPr>
        <w:t>qualsiasi gravame, peso e</w:t>
      </w:r>
      <w:r w:rsidR="00616FEF" w:rsidRPr="00F17768">
        <w:rPr>
          <w:rFonts w:eastAsia="Times New Roman"/>
          <w:iCs/>
        </w:rPr>
        <w:t xml:space="preserve">/o </w:t>
      </w:r>
      <w:r w:rsidR="00A44FA2" w:rsidRPr="00F17768">
        <w:rPr>
          <w:rFonts w:eastAsia="Times New Roman"/>
          <w:iCs/>
        </w:rPr>
        <w:t xml:space="preserve">onere, ivi compreso </w:t>
      </w:r>
      <w:r w:rsidR="00616FEF" w:rsidRPr="00F17768">
        <w:rPr>
          <w:rFonts w:eastAsia="Times New Roman"/>
          <w:iCs/>
        </w:rPr>
        <w:t xml:space="preserve">il </w:t>
      </w:r>
      <w:r w:rsidR="00A44FA2" w:rsidRPr="00F17768">
        <w:rPr>
          <w:rFonts w:eastAsia="Times New Roman"/>
          <w:iCs/>
        </w:rPr>
        <w:t xml:space="preserve">Pegno. </w:t>
      </w:r>
    </w:p>
    <w:p w14:paraId="5BE1DF62" w14:textId="77777777" w:rsidR="00A44FA2" w:rsidRPr="00F17768" w:rsidRDefault="00A44FA2" w:rsidP="00F17768">
      <w:pPr>
        <w:pStyle w:val="ListParagraph"/>
        <w:rPr>
          <w:rFonts w:cs="CenturyGothic"/>
          <w:szCs w:val="24"/>
        </w:rPr>
      </w:pPr>
    </w:p>
    <w:p w14:paraId="1177AF5C" w14:textId="0E7BB8D1" w:rsidR="00330305" w:rsidRPr="00F17768" w:rsidRDefault="00840995" w:rsidP="00F17768">
      <w:pPr>
        <w:pStyle w:val="ListParagraph"/>
        <w:numPr>
          <w:ilvl w:val="1"/>
          <w:numId w:val="43"/>
        </w:numPr>
        <w:autoSpaceDE w:val="0"/>
        <w:autoSpaceDN w:val="0"/>
        <w:adjustRightInd w:val="0"/>
        <w:ind w:left="567" w:hanging="567"/>
        <w:jc w:val="both"/>
        <w:rPr>
          <w:rFonts w:cs="CenturyGothic"/>
          <w:szCs w:val="24"/>
        </w:rPr>
      </w:pPr>
      <w:r w:rsidRPr="00F17768">
        <w:rPr>
          <w:rFonts w:cs="CenturyGothic"/>
          <w:szCs w:val="24"/>
        </w:rPr>
        <w:t xml:space="preserve">Con </w:t>
      </w:r>
      <w:r w:rsidR="00C2396B" w:rsidRPr="00F17768">
        <w:rPr>
          <w:rFonts w:cs="CenturyGothic"/>
          <w:szCs w:val="24"/>
        </w:rPr>
        <w:t xml:space="preserve">la sottoscrizione </w:t>
      </w:r>
      <w:r w:rsidR="00C2396B" w:rsidRPr="00F17768">
        <w:rPr>
          <w:szCs w:val="24"/>
        </w:rPr>
        <w:t>del</w:t>
      </w:r>
      <w:r w:rsidR="001D12CA" w:rsidRPr="00F17768">
        <w:rPr>
          <w:szCs w:val="24"/>
        </w:rPr>
        <w:t xml:space="preserve">l’atto </w:t>
      </w:r>
      <w:r w:rsidR="00C2396B" w:rsidRPr="00F17768">
        <w:rPr>
          <w:szCs w:val="24"/>
        </w:rPr>
        <w:t>notarile  avente ad oggetto il trasferimento delle Quote</w:t>
      </w:r>
      <w:r w:rsidRPr="00F17768">
        <w:rPr>
          <w:szCs w:val="24"/>
        </w:rPr>
        <w:t>, in seguito</w:t>
      </w:r>
      <w:r w:rsidR="00C2396B" w:rsidRPr="00F17768">
        <w:rPr>
          <w:szCs w:val="24"/>
        </w:rPr>
        <w:t xml:space="preserve"> all’adempimento dell’obbligazione di pagamento gravante in capo all’aggiudicatario definitivo</w:t>
      </w:r>
      <w:r w:rsidR="00330305" w:rsidRPr="00F17768">
        <w:rPr>
          <w:szCs w:val="24"/>
        </w:rPr>
        <w:t>, Pessina:</w:t>
      </w:r>
    </w:p>
    <w:p w14:paraId="378F1777" w14:textId="77777777" w:rsidR="00330305" w:rsidRPr="00F17768" w:rsidRDefault="00330305" w:rsidP="00F17768">
      <w:pPr>
        <w:pStyle w:val="ListParagraph"/>
        <w:rPr>
          <w:szCs w:val="24"/>
        </w:rPr>
      </w:pPr>
    </w:p>
    <w:p w14:paraId="47FD7CB7" w14:textId="1F5E19FF" w:rsidR="00330305" w:rsidRPr="00F17768" w:rsidRDefault="00622C3C" w:rsidP="00F17768">
      <w:pPr>
        <w:numPr>
          <w:ilvl w:val="0"/>
          <w:numId w:val="50"/>
        </w:numPr>
        <w:autoSpaceDE w:val="0"/>
        <w:autoSpaceDN w:val="0"/>
        <w:adjustRightInd w:val="0"/>
        <w:ind w:left="1134" w:hanging="567"/>
        <w:jc w:val="both"/>
        <w:rPr>
          <w:rFonts w:cs="CenturyGothic"/>
          <w:szCs w:val="24"/>
        </w:rPr>
      </w:pPr>
      <w:r w:rsidRPr="00F17768">
        <w:rPr>
          <w:szCs w:val="24"/>
        </w:rPr>
        <w:t xml:space="preserve">verserà </w:t>
      </w:r>
      <w:r w:rsidR="00C2396B" w:rsidRPr="00F17768">
        <w:rPr>
          <w:szCs w:val="24"/>
        </w:rPr>
        <w:t>su</w:t>
      </w:r>
      <w:r w:rsidR="00330305" w:rsidRPr="00F17768">
        <w:rPr>
          <w:szCs w:val="24"/>
        </w:rPr>
        <w:t xml:space="preserve">l </w:t>
      </w:r>
      <w:r w:rsidR="00C2396B" w:rsidRPr="00F17768">
        <w:rPr>
          <w:szCs w:val="24"/>
        </w:rPr>
        <w:t xml:space="preserve">conto corrente </w:t>
      </w:r>
      <w:r w:rsidR="00330305" w:rsidRPr="00F17768">
        <w:rPr>
          <w:szCs w:val="24"/>
        </w:rPr>
        <w:t>della procedura, le somme ricevute per la vendita delle Quote, sino a concorrenza del credito oggetto di Pegno, che verranno distribuite solo in fase di riparto;</w:t>
      </w:r>
    </w:p>
    <w:p w14:paraId="008B6AA8" w14:textId="1AAAB218" w:rsidR="00840995" w:rsidRPr="00F17768" w:rsidRDefault="00622C3C" w:rsidP="00F17768">
      <w:pPr>
        <w:numPr>
          <w:ilvl w:val="0"/>
          <w:numId w:val="50"/>
        </w:numPr>
        <w:autoSpaceDE w:val="0"/>
        <w:autoSpaceDN w:val="0"/>
        <w:adjustRightInd w:val="0"/>
        <w:ind w:left="1134" w:hanging="567"/>
        <w:jc w:val="both"/>
        <w:rPr>
          <w:rFonts w:cs="CenturyGothic"/>
          <w:szCs w:val="24"/>
        </w:rPr>
      </w:pPr>
      <w:r w:rsidRPr="00F17768">
        <w:rPr>
          <w:szCs w:val="24"/>
        </w:rPr>
        <w:t xml:space="preserve">trattenendo </w:t>
      </w:r>
      <w:r w:rsidR="00330305" w:rsidRPr="00F17768">
        <w:rPr>
          <w:szCs w:val="24"/>
        </w:rPr>
        <w:t xml:space="preserve">sul conto corrente della Società </w:t>
      </w:r>
      <w:r w:rsidRPr="00F17768">
        <w:rPr>
          <w:szCs w:val="24"/>
        </w:rPr>
        <w:t xml:space="preserve">medesima </w:t>
      </w:r>
      <w:r w:rsidR="00330305" w:rsidRPr="00F17768">
        <w:rPr>
          <w:szCs w:val="24"/>
        </w:rPr>
        <w:t>le restanti somme ricevute per la vendita delle Quote</w:t>
      </w:r>
      <w:r w:rsidR="00840995" w:rsidRPr="00F17768">
        <w:rPr>
          <w:szCs w:val="24"/>
        </w:rPr>
        <w:t>;</w:t>
      </w:r>
    </w:p>
    <w:p w14:paraId="3750019D" w14:textId="42C79476" w:rsidR="00330305" w:rsidRPr="00F17768" w:rsidRDefault="00840995" w:rsidP="00F17768">
      <w:pPr>
        <w:autoSpaceDE w:val="0"/>
        <w:autoSpaceDN w:val="0"/>
        <w:adjustRightInd w:val="0"/>
        <w:ind w:left="567"/>
        <w:jc w:val="both"/>
        <w:rPr>
          <w:rFonts w:cs="CenturyGothic"/>
          <w:szCs w:val="24"/>
        </w:rPr>
      </w:pPr>
      <w:r w:rsidRPr="00F17768">
        <w:rPr>
          <w:szCs w:val="24"/>
        </w:rPr>
        <w:t xml:space="preserve">ciò salvo eventuale intervenuto incasso del saldo prezzo direttamente in favore della procedura concorsuale aperta all’esito del procedimento ex art. 161, sesto comma, </w:t>
      </w:r>
      <w:r w:rsidR="00D80F9A">
        <w:rPr>
          <w:szCs w:val="24"/>
        </w:rPr>
        <w:t>L.F.</w:t>
      </w:r>
      <w:bookmarkStart w:id="8" w:name="_GoBack"/>
      <w:bookmarkEnd w:id="8"/>
      <w:r w:rsidRPr="00F17768">
        <w:rPr>
          <w:szCs w:val="24"/>
        </w:rPr>
        <w:t xml:space="preserve">, </w:t>
      </w:r>
      <w:r w:rsidR="00622C3C" w:rsidRPr="00F17768">
        <w:rPr>
          <w:szCs w:val="24"/>
        </w:rPr>
        <w:t xml:space="preserve">per indicazione dei competenti Organi concorsuali </w:t>
      </w:r>
      <w:r w:rsidRPr="00845C51">
        <w:rPr>
          <w:szCs w:val="24"/>
        </w:rPr>
        <w:t>come sopra previsto al punto 5.2.</w:t>
      </w:r>
    </w:p>
    <w:p w14:paraId="72B592E0" w14:textId="77777777" w:rsidR="00840995" w:rsidRPr="00F17768" w:rsidRDefault="00840995" w:rsidP="00F17768">
      <w:pPr>
        <w:autoSpaceDE w:val="0"/>
        <w:autoSpaceDN w:val="0"/>
        <w:adjustRightInd w:val="0"/>
        <w:ind w:left="1134"/>
        <w:jc w:val="both"/>
        <w:rPr>
          <w:rFonts w:cs="CenturyGothic"/>
          <w:szCs w:val="24"/>
        </w:rPr>
      </w:pPr>
    </w:p>
    <w:p w14:paraId="1901BBE3" w14:textId="77777777" w:rsidR="00330305" w:rsidRPr="00F17768" w:rsidRDefault="00330305" w:rsidP="00845C51">
      <w:pPr>
        <w:autoSpaceDE w:val="0"/>
        <w:autoSpaceDN w:val="0"/>
        <w:adjustRightInd w:val="0"/>
        <w:jc w:val="both"/>
        <w:rPr>
          <w:rFonts w:cs="CenturyGothic"/>
          <w:szCs w:val="24"/>
        </w:rPr>
      </w:pPr>
    </w:p>
    <w:p w14:paraId="42BEF0BB" w14:textId="526DEAE8" w:rsidR="00AB559E" w:rsidRPr="00054548" w:rsidRDefault="00AB559E" w:rsidP="00845C51">
      <w:pPr>
        <w:autoSpaceDE w:val="0"/>
        <w:autoSpaceDN w:val="0"/>
        <w:adjustRightInd w:val="0"/>
        <w:jc w:val="both"/>
        <w:rPr>
          <w:rFonts w:cs="CenturyGothic"/>
          <w:szCs w:val="24"/>
        </w:rPr>
      </w:pPr>
      <w:r w:rsidRPr="00F17768">
        <w:rPr>
          <w:szCs w:val="24"/>
          <w:lang w:eastAsia="el-GR"/>
        </w:rPr>
        <w:t xml:space="preserve">Milano, </w:t>
      </w:r>
      <w:r w:rsidR="00840995" w:rsidRPr="00F17768">
        <w:rPr>
          <w:rFonts w:cs="CenturyGothic"/>
          <w:szCs w:val="24"/>
        </w:rPr>
        <w:t>2</w:t>
      </w:r>
      <w:r w:rsidR="008D71B4">
        <w:rPr>
          <w:rFonts w:cs="CenturyGothic"/>
          <w:szCs w:val="24"/>
        </w:rPr>
        <w:t>4</w:t>
      </w:r>
      <w:r w:rsidR="00CF033C" w:rsidRPr="00F17768">
        <w:rPr>
          <w:rFonts w:cs="CenturyGothic"/>
          <w:szCs w:val="24"/>
        </w:rPr>
        <w:t xml:space="preserve"> dicembre</w:t>
      </w:r>
      <w:r w:rsidR="00C07596" w:rsidRPr="00F17768">
        <w:rPr>
          <w:szCs w:val="24"/>
          <w:lang w:eastAsia="el-GR"/>
        </w:rPr>
        <w:t xml:space="preserve"> </w:t>
      </w:r>
      <w:r w:rsidRPr="00F17768">
        <w:rPr>
          <w:rFonts w:cs="CenturyGothic"/>
          <w:szCs w:val="24"/>
        </w:rPr>
        <w:t>201</w:t>
      </w:r>
      <w:r w:rsidR="008B3DCD" w:rsidRPr="00F17768">
        <w:rPr>
          <w:rFonts w:cs="CenturyGothic"/>
          <w:szCs w:val="24"/>
        </w:rPr>
        <w:t>9</w:t>
      </w:r>
    </w:p>
    <w:p w14:paraId="32260849" w14:textId="77777777" w:rsidR="00BE45F6" w:rsidRPr="00054548" w:rsidRDefault="00BE45F6" w:rsidP="00F17768">
      <w:pPr>
        <w:rPr>
          <w:szCs w:val="24"/>
        </w:rPr>
      </w:pPr>
    </w:p>
    <w:sectPr w:rsidR="00BE45F6" w:rsidRPr="00054548" w:rsidSect="00464478">
      <w:footerReference w:type="even" r:id="rId18"/>
      <w:footerReference w:type="default" r:id="rId19"/>
      <w:type w:val="continuous"/>
      <w:pgSz w:w="11906" w:h="16838" w:code="9"/>
      <w:pgMar w:top="1984" w:right="1701" w:bottom="226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DCDD4" w14:textId="77777777" w:rsidR="008A5DE8" w:rsidRDefault="008A5DE8">
      <w:r>
        <w:separator/>
      </w:r>
    </w:p>
  </w:endnote>
  <w:endnote w:type="continuationSeparator" w:id="0">
    <w:p w14:paraId="4F02F2D9" w14:textId="77777777" w:rsidR="008A5DE8" w:rsidRDefault="008A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Gothic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mdITC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02663" w14:textId="77777777" w:rsidR="001F76DF" w:rsidRDefault="001F76DF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8DD6620" w14:textId="77777777" w:rsidR="001F76DF" w:rsidRDefault="001F76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4B42A" w14:textId="1D8E177D" w:rsidR="001F76DF" w:rsidRDefault="001F76DF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12CA">
      <w:rPr>
        <w:rStyle w:val="PageNumber"/>
        <w:noProof/>
      </w:rPr>
      <w:t>4</w:t>
    </w:r>
    <w:r>
      <w:rPr>
        <w:rStyle w:val="PageNumber"/>
      </w:rPr>
      <w:fldChar w:fldCharType="end"/>
    </w:r>
  </w:p>
  <w:p w14:paraId="1360A0A1" w14:textId="77777777" w:rsidR="001F76DF" w:rsidRDefault="001F76D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80B1B" w14:textId="77777777" w:rsidR="008A5DE8" w:rsidRDefault="008A5DE8">
      <w:r>
        <w:separator/>
      </w:r>
    </w:p>
  </w:footnote>
  <w:footnote w:type="continuationSeparator" w:id="0">
    <w:p w14:paraId="4E37EA8F" w14:textId="77777777" w:rsidR="008A5DE8" w:rsidRDefault="008A5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BE0756"/>
    <w:multiLevelType w:val="hybridMultilevel"/>
    <w:tmpl w:val="B220D92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381C0C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838B6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0E296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AD3668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298E9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515B56"/>
    <w:multiLevelType w:val="multilevel"/>
    <w:tmpl w:val="3264ACC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3A90E05"/>
    <w:multiLevelType w:val="hybridMultilevel"/>
    <w:tmpl w:val="C00E825E"/>
    <w:lvl w:ilvl="0" w:tplc="88FEFEB8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C8A4C98A">
      <w:start w:val="1"/>
      <w:numFmt w:val="lowerRoman"/>
      <w:lvlText w:val="(%2)"/>
      <w:lvlJc w:val="left"/>
      <w:pPr>
        <w:ind w:left="1440" w:hanging="360"/>
      </w:pPr>
      <w:rPr>
        <w:rFonts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620F29"/>
    <w:multiLevelType w:val="multilevel"/>
    <w:tmpl w:val="9DA0A4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1FA454A"/>
    <w:multiLevelType w:val="singleLevel"/>
    <w:tmpl w:val="ED2C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926"/>
      </w:pPr>
      <w:rPr>
        <w:rFonts w:ascii="Symbol" w:hAnsi="Symbol" w:hint="default"/>
      </w:rPr>
    </w:lvl>
  </w:abstractNum>
  <w:abstractNum w:abstractNumId="10" w15:restartNumberingAfterBreak="0">
    <w:nsid w:val="14A83671"/>
    <w:multiLevelType w:val="hybridMultilevel"/>
    <w:tmpl w:val="95544320"/>
    <w:lvl w:ilvl="0" w:tplc="C4801FBE">
      <w:start w:val="1"/>
      <w:numFmt w:val="lowerLetter"/>
      <w:lvlRestart w:val="0"/>
      <w:lvlText w:val="(%1)"/>
      <w:lvlJc w:val="left"/>
      <w:pPr>
        <w:tabs>
          <w:tab w:val="num" w:pos="709"/>
        </w:tabs>
        <w:ind w:left="709" w:hanging="709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C05F5"/>
    <w:multiLevelType w:val="multilevel"/>
    <w:tmpl w:val="1F2076A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19EB782B"/>
    <w:multiLevelType w:val="hybridMultilevel"/>
    <w:tmpl w:val="C2C0BA28"/>
    <w:lvl w:ilvl="0" w:tplc="2BA265E2">
      <w:start w:val="1"/>
      <w:numFmt w:val="lowerLetter"/>
      <w:lvlText w:val="(%1)"/>
      <w:lvlJc w:val="left"/>
      <w:pPr>
        <w:ind w:left="1287" w:hanging="720"/>
      </w:pPr>
      <w:rPr>
        <w:rFonts w:ascii="Garamond" w:eastAsia="Calibri" w:hAnsi="Garamond" w:cs="CenturyGothic-Bold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0AD4160"/>
    <w:multiLevelType w:val="hybridMultilevel"/>
    <w:tmpl w:val="639E1554"/>
    <w:lvl w:ilvl="0" w:tplc="52E808DC">
      <w:start w:val="1"/>
      <w:numFmt w:val="lowerLetter"/>
      <w:lvlRestart w:val="0"/>
      <w:lvlText w:val="(%1)"/>
      <w:lvlJc w:val="left"/>
      <w:pPr>
        <w:tabs>
          <w:tab w:val="num" w:pos="1417"/>
        </w:tabs>
        <w:ind w:left="1417" w:hanging="708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D38B5"/>
    <w:multiLevelType w:val="hybridMultilevel"/>
    <w:tmpl w:val="DC288882"/>
    <w:lvl w:ilvl="0" w:tplc="6D3031DC">
      <w:start w:val="1"/>
      <w:numFmt w:val="lowerRoman"/>
      <w:lvlText w:val="(%1)"/>
      <w:lvlJc w:val="left"/>
      <w:pPr>
        <w:ind w:left="720" w:hanging="360"/>
      </w:pPr>
      <w:rPr>
        <w:rFonts w:ascii="Garamond" w:eastAsia="Times New Roman" w:hAnsi="Garamond" w:cs="Garamond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C76AE"/>
    <w:multiLevelType w:val="hybridMultilevel"/>
    <w:tmpl w:val="A62A486A"/>
    <w:lvl w:ilvl="0" w:tplc="63DEACFE">
      <w:start w:val="1"/>
      <w:numFmt w:val="decimal"/>
      <w:pStyle w:val="TestoNumerato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FB020778">
      <w:start w:val="1"/>
      <w:numFmt w:val="low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E884940C">
      <w:numFmt w:val="none"/>
      <w:lvlText w:val=""/>
      <w:lvlJc w:val="left"/>
      <w:pPr>
        <w:tabs>
          <w:tab w:val="num" w:pos="360"/>
        </w:tabs>
      </w:pPr>
    </w:lvl>
    <w:lvl w:ilvl="3" w:tplc="133AD9A6">
      <w:start w:val="1"/>
      <w:numFmt w:val="bullet"/>
      <w:lvlRestart w:val="0"/>
      <w:lvlText w:val="–"/>
      <w:lvlJc w:val="left"/>
      <w:pPr>
        <w:tabs>
          <w:tab w:val="num" w:pos="2945"/>
        </w:tabs>
        <w:ind w:left="2945" w:hanging="425"/>
      </w:pPr>
      <w:rPr>
        <w:rFonts w:ascii="GarmdITC Bk BT" w:hAnsi="GarmdITC Bk BT" w:hint="default"/>
      </w:rPr>
    </w:lvl>
    <w:lvl w:ilvl="4" w:tplc="6FB60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A6B0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323A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30F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4E7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54859"/>
    <w:multiLevelType w:val="hybridMultilevel"/>
    <w:tmpl w:val="C1B83826"/>
    <w:lvl w:ilvl="0" w:tplc="96C6A432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B714C"/>
    <w:multiLevelType w:val="hybridMultilevel"/>
    <w:tmpl w:val="90B270DA"/>
    <w:lvl w:ilvl="0" w:tplc="D3088E88">
      <w:start w:val="1"/>
      <w:numFmt w:val="lowerLetter"/>
      <w:lvlText w:val="(%1)"/>
      <w:lvlJc w:val="left"/>
      <w:pPr>
        <w:ind w:left="720" w:hanging="360"/>
      </w:pPr>
      <w:rPr>
        <w:rFonts w:hint="default"/>
        <w:w w:val="97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B02C9"/>
    <w:multiLevelType w:val="multilevel"/>
    <w:tmpl w:val="91C487B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9" w15:restartNumberingAfterBreak="0">
    <w:nsid w:val="3D3C56D0"/>
    <w:multiLevelType w:val="hybridMultilevel"/>
    <w:tmpl w:val="C2C0BA28"/>
    <w:lvl w:ilvl="0" w:tplc="2BA265E2">
      <w:start w:val="1"/>
      <w:numFmt w:val="lowerLetter"/>
      <w:lvlText w:val="(%1)"/>
      <w:lvlJc w:val="left"/>
      <w:pPr>
        <w:ind w:left="1287" w:hanging="720"/>
      </w:pPr>
      <w:rPr>
        <w:rFonts w:ascii="Garamond" w:eastAsia="Calibri" w:hAnsi="Garamond" w:cs="CenturyGothic-Bold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DFC255F"/>
    <w:multiLevelType w:val="hybridMultilevel"/>
    <w:tmpl w:val="30AC7D2E"/>
    <w:lvl w:ilvl="0" w:tplc="50BA47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E1078"/>
    <w:multiLevelType w:val="singleLevel"/>
    <w:tmpl w:val="9F60B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06105F0"/>
    <w:multiLevelType w:val="hybridMultilevel"/>
    <w:tmpl w:val="2208F67E"/>
    <w:lvl w:ilvl="0" w:tplc="010C7652">
      <w:start w:val="1"/>
      <w:numFmt w:val="lowerRoman"/>
      <w:lvlText w:val="(%1)"/>
      <w:lvlJc w:val="left"/>
      <w:pPr>
        <w:ind w:left="1854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0C15B1F"/>
    <w:multiLevelType w:val="multilevel"/>
    <w:tmpl w:val="D4DA4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4A36723"/>
    <w:multiLevelType w:val="hybridMultilevel"/>
    <w:tmpl w:val="6BA2BA1E"/>
    <w:lvl w:ilvl="0" w:tplc="AC443274">
      <w:start w:val="1"/>
      <w:numFmt w:val="lowerLetter"/>
      <w:lvlText w:val="(%1)"/>
      <w:lvlJc w:val="left"/>
      <w:pPr>
        <w:ind w:left="720" w:hanging="360"/>
      </w:pPr>
      <w:rPr>
        <w:rFonts w:ascii="Garamond" w:eastAsia="Times New Roman" w:hAnsi="Garamond" w:cs="Garamond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2377C"/>
    <w:multiLevelType w:val="singleLevel"/>
    <w:tmpl w:val="30E296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6" w15:restartNumberingAfterBreak="0">
    <w:nsid w:val="4CF649F5"/>
    <w:multiLevelType w:val="hybridMultilevel"/>
    <w:tmpl w:val="22D23B6E"/>
    <w:lvl w:ilvl="0" w:tplc="33A00156">
      <w:start w:val="1"/>
      <w:numFmt w:val="lowerRoman"/>
      <w:lvlRestart w:val="0"/>
      <w:lvlText w:val="(%1)"/>
      <w:lvlJc w:val="left"/>
      <w:pPr>
        <w:tabs>
          <w:tab w:val="num" w:pos="1417"/>
        </w:tabs>
        <w:ind w:left="1417" w:hanging="708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C2448"/>
    <w:multiLevelType w:val="hybridMultilevel"/>
    <w:tmpl w:val="AAA865B4"/>
    <w:lvl w:ilvl="0" w:tplc="68760A6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EEB582F"/>
    <w:multiLevelType w:val="hybridMultilevel"/>
    <w:tmpl w:val="AD9A9C06"/>
    <w:lvl w:ilvl="0" w:tplc="39061F9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810A1E0">
      <w:start w:val="1"/>
      <w:numFmt w:val="lowerLetter"/>
      <w:lvlText w:val="%2."/>
      <w:lvlJc w:val="left"/>
      <w:pPr>
        <w:ind w:left="1440" w:hanging="360"/>
      </w:pPr>
      <w:rPr>
        <w:b w:val="0"/>
        <w:i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C6E3A"/>
    <w:multiLevelType w:val="singleLevel"/>
    <w:tmpl w:val="B5B8F19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0" w15:restartNumberingAfterBreak="0">
    <w:nsid w:val="55D1799B"/>
    <w:multiLevelType w:val="hybridMultilevel"/>
    <w:tmpl w:val="4F840036"/>
    <w:lvl w:ilvl="0" w:tplc="6E00543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53C26"/>
    <w:multiLevelType w:val="hybridMultilevel"/>
    <w:tmpl w:val="69D46B50"/>
    <w:lvl w:ilvl="0" w:tplc="6832D07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w w:val="97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B249B"/>
    <w:multiLevelType w:val="singleLevel"/>
    <w:tmpl w:val="3ABA39BE"/>
    <w:lvl w:ilvl="0">
      <w:start w:val="1"/>
      <w:numFmt w:val="lowerRoman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3" w15:restartNumberingAfterBreak="0">
    <w:nsid w:val="5FEB1871"/>
    <w:multiLevelType w:val="hybridMultilevel"/>
    <w:tmpl w:val="F37A3E02"/>
    <w:lvl w:ilvl="0" w:tplc="678A8E0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0317B47"/>
    <w:multiLevelType w:val="hybridMultilevel"/>
    <w:tmpl w:val="5ED80B06"/>
    <w:lvl w:ilvl="0" w:tplc="3C96B170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31248"/>
    <w:multiLevelType w:val="singleLevel"/>
    <w:tmpl w:val="30E296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6" w15:restartNumberingAfterBreak="0">
    <w:nsid w:val="61B64067"/>
    <w:multiLevelType w:val="hybridMultilevel"/>
    <w:tmpl w:val="F37A3E02"/>
    <w:lvl w:ilvl="0" w:tplc="678A8E0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2675794"/>
    <w:multiLevelType w:val="hybridMultilevel"/>
    <w:tmpl w:val="F37A3E02"/>
    <w:lvl w:ilvl="0" w:tplc="678A8E0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3DF407E"/>
    <w:multiLevelType w:val="hybridMultilevel"/>
    <w:tmpl w:val="A6128B96"/>
    <w:lvl w:ilvl="0" w:tplc="A7D07062">
      <w:start w:val="1"/>
      <w:numFmt w:val="lowerLetter"/>
      <w:lvlRestart w:val="0"/>
      <w:lvlText w:val="(%1)"/>
      <w:lvlJc w:val="left"/>
      <w:pPr>
        <w:tabs>
          <w:tab w:val="num" w:pos="709"/>
        </w:tabs>
        <w:ind w:left="709" w:hanging="709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97307"/>
    <w:multiLevelType w:val="hybridMultilevel"/>
    <w:tmpl w:val="E8522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36C3B"/>
    <w:multiLevelType w:val="hybridMultilevel"/>
    <w:tmpl w:val="993AE46C"/>
    <w:lvl w:ilvl="0" w:tplc="373EB8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411E9D"/>
    <w:multiLevelType w:val="singleLevel"/>
    <w:tmpl w:val="9F60B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41112D2"/>
    <w:multiLevelType w:val="hybridMultilevel"/>
    <w:tmpl w:val="54B64BD0"/>
    <w:lvl w:ilvl="0" w:tplc="2AEC11DE">
      <w:start w:val="1"/>
      <w:numFmt w:val="lowerLetter"/>
      <w:lvlRestart w:val="0"/>
      <w:lvlText w:val="(%1)"/>
      <w:lvlJc w:val="left"/>
      <w:pPr>
        <w:tabs>
          <w:tab w:val="num" w:pos="709"/>
        </w:tabs>
        <w:ind w:left="709" w:hanging="709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D0568A"/>
    <w:multiLevelType w:val="multilevel"/>
    <w:tmpl w:val="473A12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4" w15:restartNumberingAfterBreak="0">
    <w:nsid w:val="7DFB4F26"/>
    <w:multiLevelType w:val="hybridMultilevel"/>
    <w:tmpl w:val="7004E8D8"/>
    <w:lvl w:ilvl="0" w:tplc="3A401A28">
      <w:start w:val="1"/>
      <w:numFmt w:val="lowerLetter"/>
      <w:lvlText w:val="(%1)"/>
      <w:lvlJc w:val="left"/>
      <w:pPr>
        <w:ind w:left="720" w:hanging="360"/>
      </w:pPr>
      <w:rPr>
        <w:rFonts w:hint="default"/>
        <w:w w:val="97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21"/>
  </w:num>
  <w:num w:numId="9">
    <w:abstractNumId w:val="41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25"/>
  </w:num>
  <w:num w:numId="16">
    <w:abstractNumId w:val="35"/>
  </w:num>
  <w:num w:numId="17">
    <w:abstractNumId w:val="9"/>
  </w:num>
  <w:num w:numId="18">
    <w:abstractNumId w:val="29"/>
  </w:num>
  <w:num w:numId="19">
    <w:abstractNumId w:val="8"/>
  </w:num>
  <w:num w:numId="20">
    <w:abstractNumId w:val="10"/>
  </w:num>
  <w:num w:numId="21">
    <w:abstractNumId w:val="13"/>
  </w:num>
  <w:num w:numId="22">
    <w:abstractNumId w:val="32"/>
  </w:num>
  <w:num w:numId="23">
    <w:abstractNumId w:val="26"/>
  </w:num>
  <w:num w:numId="24">
    <w:abstractNumId w:val="15"/>
  </w:num>
  <w:num w:numId="25">
    <w:abstractNumId w:val="38"/>
  </w:num>
  <w:num w:numId="26">
    <w:abstractNumId w:val="42"/>
  </w:num>
  <w:num w:numId="27">
    <w:abstractNumId w:val="16"/>
  </w:num>
  <w:num w:numId="28">
    <w:abstractNumId w:val="44"/>
  </w:num>
  <w:num w:numId="29">
    <w:abstractNumId w:val="28"/>
  </w:num>
  <w:num w:numId="30">
    <w:abstractNumId w:val="30"/>
  </w:num>
  <w:num w:numId="31">
    <w:abstractNumId w:val="17"/>
  </w:num>
  <w:num w:numId="32">
    <w:abstractNumId w:val="20"/>
  </w:num>
  <w:num w:numId="33">
    <w:abstractNumId w:val="34"/>
  </w:num>
  <w:num w:numId="34">
    <w:abstractNumId w:val="7"/>
  </w:num>
  <w:num w:numId="35">
    <w:abstractNumId w:val="31"/>
  </w:num>
  <w:num w:numId="36">
    <w:abstractNumId w:val="43"/>
  </w:num>
  <w:num w:numId="37">
    <w:abstractNumId w:val="37"/>
  </w:num>
  <w:num w:numId="38">
    <w:abstractNumId w:val="0"/>
  </w:num>
  <w:num w:numId="39">
    <w:abstractNumId w:val="14"/>
  </w:num>
  <w:num w:numId="40">
    <w:abstractNumId w:val="24"/>
  </w:num>
  <w:num w:numId="41">
    <w:abstractNumId w:val="22"/>
  </w:num>
  <w:num w:numId="42">
    <w:abstractNumId w:val="39"/>
  </w:num>
  <w:num w:numId="43">
    <w:abstractNumId w:val="23"/>
  </w:num>
  <w:num w:numId="44">
    <w:abstractNumId w:val="6"/>
  </w:num>
  <w:num w:numId="45">
    <w:abstractNumId w:val="19"/>
  </w:num>
  <w:num w:numId="46">
    <w:abstractNumId w:val="27"/>
  </w:num>
  <w:num w:numId="47">
    <w:abstractNumId w:val="40"/>
  </w:num>
  <w:num w:numId="48">
    <w:abstractNumId w:val="12"/>
  </w:num>
  <w:num w:numId="49">
    <w:abstractNumId w:val="33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styleLockQFSet/>
  <w:defaultTabStop w:val="708"/>
  <w:hyphenationZone w:val="283"/>
  <w:drawingGridHorizontalSpacing w:val="115"/>
  <w:drawingGridVerticalSpacing w:val="31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59E"/>
    <w:rsid w:val="00011A8B"/>
    <w:rsid w:val="00014D75"/>
    <w:rsid w:val="00020D26"/>
    <w:rsid w:val="00023F2C"/>
    <w:rsid w:val="00042439"/>
    <w:rsid w:val="00047C56"/>
    <w:rsid w:val="00047F8C"/>
    <w:rsid w:val="00054548"/>
    <w:rsid w:val="00066D1A"/>
    <w:rsid w:val="000A6CE7"/>
    <w:rsid w:val="000B3AB4"/>
    <w:rsid w:val="000B4617"/>
    <w:rsid w:val="000B6D75"/>
    <w:rsid w:val="000C3D58"/>
    <w:rsid w:val="000C5305"/>
    <w:rsid w:val="000E2410"/>
    <w:rsid w:val="000F7A18"/>
    <w:rsid w:val="00104905"/>
    <w:rsid w:val="00153B09"/>
    <w:rsid w:val="00154DB1"/>
    <w:rsid w:val="001652E1"/>
    <w:rsid w:val="001758C1"/>
    <w:rsid w:val="00192EE3"/>
    <w:rsid w:val="0019355E"/>
    <w:rsid w:val="001A0280"/>
    <w:rsid w:val="001B2CA1"/>
    <w:rsid w:val="001B721F"/>
    <w:rsid w:val="001D12CA"/>
    <w:rsid w:val="001D6812"/>
    <w:rsid w:val="001E72FE"/>
    <w:rsid w:val="001F01A2"/>
    <w:rsid w:val="001F76DF"/>
    <w:rsid w:val="00211F74"/>
    <w:rsid w:val="00212601"/>
    <w:rsid w:val="00214856"/>
    <w:rsid w:val="002201AD"/>
    <w:rsid w:val="00246754"/>
    <w:rsid w:val="0026552A"/>
    <w:rsid w:val="00270A27"/>
    <w:rsid w:val="002D7B21"/>
    <w:rsid w:val="002E2EB4"/>
    <w:rsid w:val="002F41AF"/>
    <w:rsid w:val="002F6CD3"/>
    <w:rsid w:val="00306481"/>
    <w:rsid w:val="00330305"/>
    <w:rsid w:val="00347EBF"/>
    <w:rsid w:val="00350F84"/>
    <w:rsid w:val="003921CF"/>
    <w:rsid w:val="003922E0"/>
    <w:rsid w:val="003A47C6"/>
    <w:rsid w:val="00400EB0"/>
    <w:rsid w:val="00402340"/>
    <w:rsid w:val="00406503"/>
    <w:rsid w:val="0041077A"/>
    <w:rsid w:val="00413CCD"/>
    <w:rsid w:val="004161B6"/>
    <w:rsid w:val="004167BE"/>
    <w:rsid w:val="00435543"/>
    <w:rsid w:val="004515BB"/>
    <w:rsid w:val="00455814"/>
    <w:rsid w:val="00464478"/>
    <w:rsid w:val="0046511E"/>
    <w:rsid w:val="00476670"/>
    <w:rsid w:val="00483B53"/>
    <w:rsid w:val="004B77C8"/>
    <w:rsid w:val="004C23BD"/>
    <w:rsid w:val="004C5545"/>
    <w:rsid w:val="004E4685"/>
    <w:rsid w:val="004E5D05"/>
    <w:rsid w:val="004F48A5"/>
    <w:rsid w:val="00506D2A"/>
    <w:rsid w:val="00524287"/>
    <w:rsid w:val="005329B8"/>
    <w:rsid w:val="0056075E"/>
    <w:rsid w:val="005730C7"/>
    <w:rsid w:val="005817B4"/>
    <w:rsid w:val="005825F3"/>
    <w:rsid w:val="00583432"/>
    <w:rsid w:val="0059547D"/>
    <w:rsid w:val="005A6116"/>
    <w:rsid w:val="005B4786"/>
    <w:rsid w:val="0060117A"/>
    <w:rsid w:val="00610DFF"/>
    <w:rsid w:val="00616FEF"/>
    <w:rsid w:val="0061750C"/>
    <w:rsid w:val="00622C3C"/>
    <w:rsid w:val="00635DF9"/>
    <w:rsid w:val="006632C0"/>
    <w:rsid w:val="00666E55"/>
    <w:rsid w:val="006751EA"/>
    <w:rsid w:val="006941D0"/>
    <w:rsid w:val="006A3ECD"/>
    <w:rsid w:val="006C2698"/>
    <w:rsid w:val="006D37E4"/>
    <w:rsid w:val="006E6247"/>
    <w:rsid w:val="006F25E4"/>
    <w:rsid w:val="007151FB"/>
    <w:rsid w:val="00734FF8"/>
    <w:rsid w:val="00746A02"/>
    <w:rsid w:val="00767391"/>
    <w:rsid w:val="007912A3"/>
    <w:rsid w:val="00791D61"/>
    <w:rsid w:val="007A5955"/>
    <w:rsid w:val="007B0FE3"/>
    <w:rsid w:val="007B3244"/>
    <w:rsid w:val="007C1128"/>
    <w:rsid w:val="007C5536"/>
    <w:rsid w:val="007C6334"/>
    <w:rsid w:val="00825285"/>
    <w:rsid w:val="0083439E"/>
    <w:rsid w:val="00840995"/>
    <w:rsid w:val="00845C51"/>
    <w:rsid w:val="00877F85"/>
    <w:rsid w:val="00894D16"/>
    <w:rsid w:val="00896483"/>
    <w:rsid w:val="008A3AC1"/>
    <w:rsid w:val="008A56A7"/>
    <w:rsid w:val="008A5DE8"/>
    <w:rsid w:val="008B3DCD"/>
    <w:rsid w:val="008C2625"/>
    <w:rsid w:val="008C50A7"/>
    <w:rsid w:val="008D71B4"/>
    <w:rsid w:val="008F3F32"/>
    <w:rsid w:val="00901A89"/>
    <w:rsid w:val="009068A1"/>
    <w:rsid w:val="00917B97"/>
    <w:rsid w:val="00917FA0"/>
    <w:rsid w:val="009250E1"/>
    <w:rsid w:val="00935D91"/>
    <w:rsid w:val="009554F9"/>
    <w:rsid w:val="00960118"/>
    <w:rsid w:val="00961320"/>
    <w:rsid w:val="00962C97"/>
    <w:rsid w:val="0097448C"/>
    <w:rsid w:val="009801A6"/>
    <w:rsid w:val="00997B15"/>
    <w:rsid w:val="009C2C3C"/>
    <w:rsid w:val="009C379E"/>
    <w:rsid w:val="009C4D2B"/>
    <w:rsid w:val="009D57CC"/>
    <w:rsid w:val="009E0D32"/>
    <w:rsid w:val="009E1F46"/>
    <w:rsid w:val="00A10146"/>
    <w:rsid w:val="00A44FA2"/>
    <w:rsid w:val="00A611AA"/>
    <w:rsid w:val="00A71451"/>
    <w:rsid w:val="00A77EF6"/>
    <w:rsid w:val="00A9171C"/>
    <w:rsid w:val="00AA687E"/>
    <w:rsid w:val="00AB559E"/>
    <w:rsid w:val="00AC012D"/>
    <w:rsid w:val="00AC3484"/>
    <w:rsid w:val="00AC52ED"/>
    <w:rsid w:val="00AC6A58"/>
    <w:rsid w:val="00AD1583"/>
    <w:rsid w:val="00B03286"/>
    <w:rsid w:val="00B04B42"/>
    <w:rsid w:val="00B11E7F"/>
    <w:rsid w:val="00B1451B"/>
    <w:rsid w:val="00B14B22"/>
    <w:rsid w:val="00B14DE2"/>
    <w:rsid w:val="00B21DD1"/>
    <w:rsid w:val="00B24DCC"/>
    <w:rsid w:val="00B272C1"/>
    <w:rsid w:val="00B51F06"/>
    <w:rsid w:val="00B9342D"/>
    <w:rsid w:val="00B947BD"/>
    <w:rsid w:val="00B95147"/>
    <w:rsid w:val="00BC5460"/>
    <w:rsid w:val="00BD638C"/>
    <w:rsid w:val="00BE45F6"/>
    <w:rsid w:val="00BE6174"/>
    <w:rsid w:val="00BE67DE"/>
    <w:rsid w:val="00BF1A93"/>
    <w:rsid w:val="00BF2710"/>
    <w:rsid w:val="00C06900"/>
    <w:rsid w:val="00C07596"/>
    <w:rsid w:val="00C216AC"/>
    <w:rsid w:val="00C2396B"/>
    <w:rsid w:val="00C257E9"/>
    <w:rsid w:val="00C2718D"/>
    <w:rsid w:val="00C476DF"/>
    <w:rsid w:val="00C47FEC"/>
    <w:rsid w:val="00C60BA0"/>
    <w:rsid w:val="00C60E70"/>
    <w:rsid w:val="00C93EA2"/>
    <w:rsid w:val="00CC58F1"/>
    <w:rsid w:val="00CE02AF"/>
    <w:rsid w:val="00CF033C"/>
    <w:rsid w:val="00CF2139"/>
    <w:rsid w:val="00CF501B"/>
    <w:rsid w:val="00D25278"/>
    <w:rsid w:val="00D259B9"/>
    <w:rsid w:val="00D56F1C"/>
    <w:rsid w:val="00D60CBA"/>
    <w:rsid w:val="00D610A8"/>
    <w:rsid w:val="00D61DF3"/>
    <w:rsid w:val="00D77E1B"/>
    <w:rsid w:val="00D80F9A"/>
    <w:rsid w:val="00D851FA"/>
    <w:rsid w:val="00D93560"/>
    <w:rsid w:val="00D948BF"/>
    <w:rsid w:val="00D96DA5"/>
    <w:rsid w:val="00DD0121"/>
    <w:rsid w:val="00DD06F8"/>
    <w:rsid w:val="00DE29DE"/>
    <w:rsid w:val="00E0214D"/>
    <w:rsid w:val="00E10076"/>
    <w:rsid w:val="00E11245"/>
    <w:rsid w:val="00E1159F"/>
    <w:rsid w:val="00E16882"/>
    <w:rsid w:val="00E37CD9"/>
    <w:rsid w:val="00E4023C"/>
    <w:rsid w:val="00E40484"/>
    <w:rsid w:val="00E52052"/>
    <w:rsid w:val="00E56AAD"/>
    <w:rsid w:val="00E81EB2"/>
    <w:rsid w:val="00EB27D0"/>
    <w:rsid w:val="00EC10FA"/>
    <w:rsid w:val="00EC4175"/>
    <w:rsid w:val="00ED002B"/>
    <w:rsid w:val="00ED0914"/>
    <w:rsid w:val="00ED27C9"/>
    <w:rsid w:val="00ED6AA8"/>
    <w:rsid w:val="00EE21EA"/>
    <w:rsid w:val="00EE4859"/>
    <w:rsid w:val="00EF2918"/>
    <w:rsid w:val="00EF53D6"/>
    <w:rsid w:val="00F17768"/>
    <w:rsid w:val="00F17D9D"/>
    <w:rsid w:val="00F21101"/>
    <w:rsid w:val="00F42F8D"/>
    <w:rsid w:val="00F46A5C"/>
    <w:rsid w:val="00F52409"/>
    <w:rsid w:val="00F529EC"/>
    <w:rsid w:val="00F93E6E"/>
    <w:rsid w:val="00FB28E3"/>
    <w:rsid w:val="00FD03E1"/>
    <w:rsid w:val="00FD5213"/>
    <w:rsid w:val="00FE4F66"/>
    <w:rsid w:val="00FE7A10"/>
    <w:rsid w:val="00FF5FAC"/>
    <w:rsid w:val="00FF6246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3854D7"/>
  <w15:chartTrackingRefBased/>
  <w15:docId w15:val="{D378A4E7-94CE-4710-9E67-92F6E7AD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Times New Roman" w:hAnsi="Garamond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uiPriority="1" w:qFormat="1"/>
    <w:lsdException w:name="heading 4" w:semiHidden="1" w:uiPriority="2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2" w:unhideWhenUsed="1" w:qFormat="1"/>
    <w:lsdException w:name="Intense Reference" w:semiHidden="1" w:uiPriority="33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59E"/>
    <w:rPr>
      <w:rFonts w:eastAsia="Calibri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1EA"/>
    <w:pPr>
      <w:keepNext/>
      <w:keepLines/>
      <w:outlineLvl w:val="0"/>
    </w:pPr>
    <w:rPr>
      <w:b/>
      <w:smallCaps/>
    </w:rPr>
  </w:style>
  <w:style w:type="paragraph" w:styleId="Heading2">
    <w:name w:val="heading 2"/>
    <w:basedOn w:val="Normal"/>
    <w:next w:val="Normal"/>
    <w:uiPriority w:val="1"/>
    <w:qFormat/>
    <w:rsid w:val="006751EA"/>
    <w:pPr>
      <w:keepNext/>
      <w:keepLines/>
      <w:outlineLvl w:val="1"/>
    </w:pPr>
    <w:rPr>
      <w:b/>
    </w:rPr>
  </w:style>
  <w:style w:type="paragraph" w:styleId="Heading3">
    <w:name w:val="heading 3"/>
    <w:basedOn w:val="Normal"/>
    <w:next w:val="Normal"/>
    <w:uiPriority w:val="1"/>
    <w:qFormat/>
    <w:rsid w:val="006751EA"/>
    <w:pPr>
      <w:keepNext/>
      <w:keepLines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2"/>
    <w:unhideWhenUsed/>
    <w:rsid w:val="00E16882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6751EA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154DB1"/>
    <w:pPr>
      <w:keepNext/>
      <w:keepLines/>
      <w:spacing w:before="20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154DB1"/>
    <w:pPr>
      <w:keepNext/>
      <w:keepLines/>
      <w:spacing w:before="20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DB1"/>
    <w:pPr>
      <w:keepNext/>
      <w:keepLines/>
      <w:spacing w:before="20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DB1"/>
    <w:pPr>
      <w:keepNext/>
      <w:keepLines/>
      <w:spacing w:before="20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6751EA"/>
    <w:pPr>
      <w:tabs>
        <w:tab w:val="left" w:pos="425"/>
        <w:tab w:val="right" w:leader="dot" w:pos="8505"/>
      </w:tabs>
      <w:spacing w:before="80" w:after="40"/>
      <w:ind w:left="425" w:right="425" w:hanging="425"/>
    </w:pPr>
    <w:rPr>
      <w:noProof/>
    </w:rPr>
  </w:style>
  <w:style w:type="paragraph" w:styleId="TOC2">
    <w:name w:val="toc 2"/>
    <w:basedOn w:val="Normal"/>
    <w:next w:val="Normal"/>
    <w:autoRedefine/>
    <w:semiHidden/>
    <w:rsid w:val="006751EA"/>
    <w:pPr>
      <w:tabs>
        <w:tab w:val="left" w:pos="425"/>
        <w:tab w:val="left" w:pos="851"/>
        <w:tab w:val="right" w:leader="dot" w:pos="8505"/>
      </w:tabs>
      <w:spacing w:before="30" w:after="20"/>
      <w:ind w:left="850" w:right="425" w:hanging="425"/>
    </w:pPr>
    <w:rPr>
      <w:i/>
      <w:noProof/>
    </w:rPr>
  </w:style>
  <w:style w:type="paragraph" w:styleId="TOC3">
    <w:name w:val="toc 3"/>
    <w:basedOn w:val="Normal"/>
    <w:next w:val="Normal"/>
    <w:autoRedefine/>
    <w:semiHidden/>
    <w:rsid w:val="006751EA"/>
    <w:pPr>
      <w:tabs>
        <w:tab w:val="left" w:pos="1418"/>
        <w:tab w:val="right" w:leader="dot" w:pos="8505"/>
      </w:tabs>
      <w:spacing w:before="20" w:after="20"/>
      <w:ind w:left="1418" w:right="425" w:hanging="567"/>
    </w:pPr>
    <w:rPr>
      <w:noProof/>
      <w:sz w:val="21"/>
    </w:rPr>
  </w:style>
  <w:style w:type="paragraph" w:styleId="FootnoteText">
    <w:name w:val="footnote text"/>
    <w:basedOn w:val="Normal"/>
    <w:semiHidden/>
    <w:rsid w:val="000E2410"/>
    <w:rPr>
      <w:sz w:val="20"/>
    </w:rPr>
  </w:style>
  <w:style w:type="character" w:styleId="FootnoteReference">
    <w:name w:val="footnote reference"/>
    <w:semiHidden/>
    <w:rsid w:val="006751EA"/>
    <w:rPr>
      <w:vertAlign w:val="superscript"/>
    </w:rPr>
  </w:style>
  <w:style w:type="character" w:styleId="PageNumber">
    <w:name w:val="page number"/>
    <w:basedOn w:val="DefaultParagraphFont"/>
    <w:semiHidden/>
    <w:rsid w:val="006751EA"/>
  </w:style>
  <w:style w:type="character" w:customStyle="1" w:styleId="Heading4Char">
    <w:name w:val="Heading 4 Char"/>
    <w:link w:val="Heading4"/>
    <w:uiPriority w:val="2"/>
    <w:rsid w:val="00E16882"/>
    <w:rPr>
      <w:rFonts w:eastAsiaTheme="majorEastAsia" w:cstheme="majorBidi"/>
      <w:bCs/>
      <w:iCs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751EA"/>
    <w:pPr>
      <w:contextualSpacing/>
      <w:jc w:val="center"/>
    </w:pPr>
    <w:rPr>
      <w:rFonts w:eastAsiaTheme="majorEastAsia" w:cstheme="majorBidi"/>
      <w:b/>
      <w:smallCaps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semiHidden/>
    <w:rsid w:val="006751EA"/>
    <w:rPr>
      <w:rFonts w:eastAsiaTheme="majorEastAsia" w:cstheme="majorBidi"/>
      <w:b/>
      <w:smallCaps/>
      <w:spacing w:val="5"/>
      <w:kern w:val="28"/>
      <w:szCs w:val="52"/>
    </w:rPr>
  </w:style>
  <w:style w:type="character" w:customStyle="1" w:styleId="Heading5Char">
    <w:name w:val="Heading 5 Char"/>
    <w:link w:val="Heading5"/>
    <w:uiPriority w:val="2"/>
    <w:rsid w:val="00E16882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BE45F6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BE45F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DB1"/>
    <w:rPr>
      <w:rFonts w:eastAsiaTheme="majorEastAsia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DB1"/>
    <w:rPr>
      <w:rFonts w:eastAsiaTheme="majorEastAsia" w:cstheme="majorBidi"/>
      <w:i/>
      <w:iCs/>
      <w:szCs w:val="20"/>
    </w:rPr>
  </w:style>
  <w:style w:type="paragraph" w:styleId="ListParagraph">
    <w:name w:val="List Paragraph"/>
    <w:basedOn w:val="Normal"/>
    <w:uiPriority w:val="34"/>
    <w:qFormat/>
    <w:rsid w:val="00BE45F6"/>
    <w:pPr>
      <w:ind w:left="720"/>
      <w:contextualSpacing/>
    </w:pPr>
  </w:style>
  <w:style w:type="paragraph" w:customStyle="1" w:styleId="Citazione1">
    <w:name w:val="Citazione1"/>
    <w:basedOn w:val="Normal"/>
    <w:uiPriority w:val="2"/>
    <w:qFormat/>
    <w:rsid w:val="00BE45F6"/>
    <w:pPr>
      <w:spacing w:before="240"/>
      <w:ind w:left="709" w:right="709"/>
    </w:pPr>
    <w:rPr>
      <w:sz w:val="22"/>
      <w:szCs w:val="20"/>
    </w:rPr>
  </w:style>
  <w:style w:type="paragraph" w:customStyle="1" w:styleId="Citazionerientrata">
    <w:name w:val="Citazione rientrata"/>
    <w:basedOn w:val="Citazione1"/>
    <w:uiPriority w:val="2"/>
    <w:qFormat/>
    <w:rsid w:val="00BE45F6"/>
    <w:pPr>
      <w:ind w:left="1418"/>
    </w:pPr>
  </w:style>
  <w:style w:type="paragraph" w:customStyle="1" w:styleId="TestoNumerato">
    <w:name w:val="Testo Numerato"/>
    <w:basedOn w:val="Normal"/>
    <w:uiPriority w:val="2"/>
    <w:qFormat/>
    <w:rsid w:val="00BE45F6"/>
    <w:pPr>
      <w:numPr>
        <w:numId w:val="24"/>
      </w:numPr>
    </w:pPr>
    <w:rPr>
      <w:szCs w:val="20"/>
    </w:rPr>
  </w:style>
  <w:style w:type="character" w:customStyle="1" w:styleId="Heading1Char">
    <w:name w:val="Heading 1 Char"/>
    <w:link w:val="Heading1"/>
    <w:uiPriority w:val="9"/>
    <w:rsid w:val="00AB559E"/>
    <w:rPr>
      <w:b/>
      <w:smallCaps/>
    </w:rPr>
  </w:style>
  <w:style w:type="character" w:styleId="Hyperlink">
    <w:name w:val="Hyperlink"/>
    <w:uiPriority w:val="99"/>
    <w:unhideWhenUsed/>
    <w:rsid w:val="00AB559E"/>
    <w:rPr>
      <w:color w:val="0000FF"/>
      <w:u w:val="single"/>
    </w:rPr>
  </w:style>
  <w:style w:type="paragraph" w:customStyle="1" w:styleId="Default">
    <w:name w:val="Default"/>
    <w:rsid w:val="00FB28E3"/>
    <w:pPr>
      <w:autoSpaceDE w:val="0"/>
      <w:autoSpaceDN w:val="0"/>
      <w:adjustRightInd w:val="0"/>
    </w:pPr>
    <w:rPr>
      <w:rFonts w:cs="Garamond"/>
      <w:color w:val="000000"/>
      <w:lang w:val="en-US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8B3DC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F6C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C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CD3"/>
    <w:rPr>
      <w:rFonts w:eastAsia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C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CD3"/>
    <w:rPr>
      <w:rFonts w:eastAsia="Calibr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C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CD3"/>
    <w:rPr>
      <w:rFonts w:ascii="Segoe UI" w:eastAsia="Calibr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46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_impresapessina@pec.it" TargetMode="External"/><Relationship Id="rId13" Type="http://schemas.openxmlformats.org/officeDocument/2006/relationships/hyperlink" Target="mailto:alfredo.haupt@odcecmilano.i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ierdaniloadriano.beltrami@milano.pecavvocati.it" TargetMode="External"/><Relationship Id="rId17" Type="http://schemas.openxmlformats.org/officeDocument/2006/relationships/hyperlink" Target="http://www.portalecreditori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stegiudiziarie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ola.pagini@milano.pecavvocati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enditepubbliche.giustizia.it/pvp/" TargetMode="External"/><Relationship Id="rId10" Type="http://schemas.openxmlformats.org/officeDocument/2006/relationships/hyperlink" Target="mailto:alfredo.haupt@odcecmilano.i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pierdaniloadriano.beltrami@milano.pecavvocati.it" TargetMode="External"/><Relationship Id="rId14" Type="http://schemas.openxmlformats.org/officeDocument/2006/relationships/hyperlink" Target="mailto:paola.pagini@milano.pecavvocat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803D2-0733-4979-885C-BDC3089FB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3237</Words>
  <Characters>19881</Characters>
  <Application>Microsoft Office Word</Application>
  <DocSecurity>0</DocSecurity>
  <Lines>393</Lines>
  <Paragraphs>91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</dc:creator>
  <cp:keywords> [SEC=Internal]</cp:keywords>
  <dc:description/>
  <cp:lastModifiedBy>be</cp:lastModifiedBy>
  <cp:revision>7</cp:revision>
  <cp:lastPrinted>2011-12-27T21:56:00Z</cp:lastPrinted>
  <dcterms:created xsi:type="dcterms:W3CDTF">2019-12-23T17:11:00Z</dcterms:created>
  <dcterms:modified xsi:type="dcterms:W3CDTF">2019-12-23T17:34:00Z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Internal</vt:lpwstr>
  </property>
  <property fmtid="{D5CDD505-2E9C-101B-9397-08002B2CF9AE}" pid="3" name="PM_Caveats_Count">
    <vt:lpwstr>0</vt:lpwstr>
  </property>
  <property fmtid="{D5CDD505-2E9C-101B-9397-08002B2CF9AE}" pid="4" name="PM_Originator_Hash_SHA1">
    <vt:lpwstr>D5AA3A613A2B1714362C42FB6F67ECF99EF7F7D5</vt:lpwstr>
  </property>
  <property fmtid="{D5CDD505-2E9C-101B-9397-08002B2CF9AE}" pid="5" name="PM_SecurityClassification">
    <vt:lpwstr>Internal</vt:lpwstr>
  </property>
  <property fmtid="{D5CDD505-2E9C-101B-9397-08002B2CF9AE}" pid="6" name="PM_DisplayValueSecClassificationWithQualifier">
    <vt:lpwstr>Internal</vt:lpwstr>
  </property>
  <property fmtid="{D5CDD505-2E9C-101B-9397-08002B2CF9AE}" pid="7" name="PM_Qualifier">
    <vt:lpwstr/>
  </property>
  <property fmtid="{D5CDD505-2E9C-101B-9397-08002B2CF9AE}" pid="8" name="PM_Hash_SHA1">
    <vt:lpwstr>6B48DB6331325872EF2180AE8C03B3388DE9840B</vt:lpwstr>
  </property>
  <property fmtid="{D5CDD505-2E9C-101B-9397-08002B2CF9AE}" pid="9" name="PM_ProtectiveMarkingImage_Header">
    <vt:lpwstr>C:\Program Files (x86)\Common Files\janusNET Shared\janusSEAL\Images\DocumentSlashBlue.png</vt:lpwstr>
  </property>
  <property fmtid="{D5CDD505-2E9C-101B-9397-08002B2CF9AE}" pid="10" name="PM_InsertionValue">
    <vt:lpwstr>Internal</vt:lpwstr>
  </property>
  <property fmtid="{D5CDD505-2E9C-101B-9397-08002B2CF9AE}" pid="11" name="PM_ProtectiveMarkingValue_Header">
    <vt:lpwstr>Internal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2018.2.belex.com</vt:lpwstr>
  </property>
  <property fmtid="{D5CDD505-2E9C-101B-9397-08002B2CF9AE}" pid="14" name="PM_Version">
    <vt:lpwstr>2005.6</vt:lpwstr>
  </property>
  <property fmtid="{D5CDD505-2E9C-101B-9397-08002B2CF9AE}" pid="15" name="PM_Originating_FileId">
    <vt:lpwstr>FC3019080D774AD7A1D0DA41B244D0D2</vt:lpwstr>
  </property>
  <property fmtid="{D5CDD505-2E9C-101B-9397-08002B2CF9AE}" pid="16" name="PM_OriginationTimeStamp">
    <vt:lpwstr>2019-10-04T08:21:25Z</vt:lpwstr>
  </property>
  <property fmtid="{D5CDD505-2E9C-101B-9397-08002B2CF9AE}" pid="17" name="PM_Hash_Version">
    <vt:lpwstr>2016.1</vt:lpwstr>
  </property>
  <property fmtid="{D5CDD505-2E9C-101B-9397-08002B2CF9AE}" pid="18" name="PM_Hash_Salt_Prev">
    <vt:lpwstr>4091AF2E6F4F6D6B3C62837D55C8608A</vt:lpwstr>
  </property>
  <property fmtid="{D5CDD505-2E9C-101B-9397-08002B2CF9AE}" pid="19" name="PM_Hash_Salt">
    <vt:lpwstr>4091AF2E6F4F6D6B3C62837D55C8608A</vt:lpwstr>
  </property>
</Properties>
</file>